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120" w:type="dxa"/>
        <w:tblInd w:w="-635" w:type="dxa"/>
        <w:tblLook w:val="04A0" w:firstRow="1" w:lastRow="0" w:firstColumn="1" w:lastColumn="0" w:noHBand="0" w:noVBand="1"/>
      </w:tblPr>
      <w:tblGrid>
        <w:gridCol w:w="1890"/>
        <w:gridCol w:w="7245"/>
        <w:gridCol w:w="5985"/>
      </w:tblGrid>
      <w:tr w:rsidR="000A766E" w14:paraId="55A7895E" w14:textId="77777777" w:rsidTr="000A766E">
        <w:tc>
          <w:tcPr>
            <w:tcW w:w="1890" w:type="dxa"/>
          </w:tcPr>
          <w:p w14:paraId="7C10953E" w14:textId="77777777" w:rsidR="00126D28" w:rsidRDefault="00126D28"/>
        </w:tc>
        <w:tc>
          <w:tcPr>
            <w:tcW w:w="7245" w:type="dxa"/>
          </w:tcPr>
          <w:p w14:paraId="233A5A32" w14:textId="7F29BA85" w:rsidR="00126D28" w:rsidRPr="00891087" w:rsidRDefault="00126D28" w:rsidP="00585771">
            <w:pPr>
              <w:rPr>
                <w:b/>
                <w:bCs/>
              </w:rPr>
            </w:pPr>
            <w:r w:rsidRPr="00891087">
              <w:rPr>
                <w:b/>
                <w:bCs/>
              </w:rPr>
              <w:t>BBA</w:t>
            </w:r>
            <w:r w:rsidR="00FA3AD1" w:rsidRPr="00891087">
              <w:rPr>
                <w:b/>
                <w:bCs/>
              </w:rPr>
              <w:t xml:space="preserve"> – </w:t>
            </w:r>
            <w:r w:rsidR="00585771" w:rsidRPr="00891087">
              <w:rPr>
                <w:b/>
                <w:bCs/>
              </w:rPr>
              <w:t>Based on September 2019 Notice of Proposed Rulemaking (NPR)</w:t>
            </w:r>
          </w:p>
        </w:tc>
        <w:tc>
          <w:tcPr>
            <w:tcW w:w="5985" w:type="dxa"/>
          </w:tcPr>
          <w:p w14:paraId="10A2EE95" w14:textId="0798FCA3" w:rsidR="00126D28" w:rsidRPr="00891087" w:rsidRDefault="00126D28">
            <w:pPr>
              <w:rPr>
                <w:b/>
                <w:bCs/>
              </w:rPr>
            </w:pPr>
            <w:r w:rsidRPr="00891087">
              <w:rPr>
                <w:b/>
                <w:bCs/>
              </w:rPr>
              <w:t>GCC</w:t>
            </w:r>
            <w:r w:rsidR="00FA3AD1" w:rsidRPr="00891087">
              <w:rPr>
                <w:b/>
                <w:bCs/>
              </w:rPr>
              <w:t xml:space="preserve"> </w:t>
            </w:r>
            <w:r w:rsidR="000A766E">
              <w:rPr>
                <w:b/>
                <w:bCs/>
              </w:rPr>
              <w:t xml:space="preserve">Exposure </w:t>
            </w:r>
            <w:r w:rsidR="00FA3AD1" w:rsidRPr="00891087">
              <w:rPr>
                <w:b/>
                <w:bCs/>
              </w:rPr>
              <w:t>– Pending Comments</w:t>
            </w:r>
            <w:r w:rsidR="00DA6347" w:rsidRPr="00891087">
              <w:rPr>
                <w:b/>
                <w:bCs/>
              </w:rPr>
              <w:t xml:space="preserve"> Due July 19, 2020</w:t>
            </w:r>
          </w:p>
        </w:tc>
      </w:tr>
      <w:tr w:rsidR="000A766E" w14:paraId="4844C17C" w14:textId="77777777" w:rsidTr="000A766E">
        <w:tc>
          <w:tcPr>
            <w:tcW w:w="1890" w:type="dxa"/>
          </w:tcPr>
          <w:p w14:paraId="4827E331" w14:textId="766E1AFF" w:rsidR="00F96797" w:rsidRPr="00F96797" w:rsidRDefault="00F96797" w:rsidP="00F96797">
            <w:pPr>
              <w:ind w:left="75"/>
              <w:rPr>
                <w:b/>
                <w:bCs/>
              </w:rPr>
            </w:pPr>
            <w:r w:rsidRPr="00F96797">
              <w:rPr>
                <w:b/>
                <w:bCs/>
              </w:rPr>
              <w:t>Purpose</w:t>
            </w:r>
          </w:p>
        </w:tc>
        <w:tc>
          <w:tcPr>
            <w:tcW w:w="7245" w:type="dxa"/>
          </w:tcPr>
          <w:p w14:paraId="3D43AB7D" w14:textId="2353890D" w:rsidR="00F96797" w:rsidRDefault="00F96797" w:rsidP="00035F14">
            <w:r>
              <w:t xml:space="preserve">Group-wide capital </w:t>
            </w:r>
            <w:r w:rsidR="00035F14">
              <w:t>requirement</w:t>
            </w:r>
          </w:p>
        </w:tc>
        <w:tc>
          <w:tcPr>
            <w:tcW w:w="5985" w:type="dxa"/>
          </w:tcPr>
          <w:p w14:paraId="6816A855" w14:textId="0487A192" w:rsidR="00F96797" w:rsidRDefault="00F96797">
            <w:r>
              <w:t xml:space="preserve">Group-wide analytical tool </w:t>
            </w:r>
          </w:p>
        </w:tc>
      </w:tr>
      <w:tr w:rsidR="000A766E" w14:paraId="0B1F4C2D" w14:textId="77777777" w:rsidTr="000A766E">
        <w:tc>
          <w:tcPr>
            <w:tcW w:w="1890" w:type="dxa"/>
          </w:tcPr>
          <w:tbl>
            <w:tblPr>
              <w:tblW w:w="0" w:type="auto"/>
              <w:tblBorders>
                <w:top w:val="nil"/>
                <w:left w:val="nil"/>
                <w:bottom w:val="nil"/>
                <w:right w:val="nil"/>
              </w:tblBorders>
              <w:tblLook w:val="0000" w:firstRow="0" w:lastRow="0" w:firstColumn="0" w:lastColumn="0" w:noHBand="0" w:noVBand="0"/>
            </w:tblPr>
            <w:tblGrid>
              <w:gridCol w:w="1674"/>
            </w:tblGrid>
            <w:tr w:rsidR="00126D28" w:rsidRPr="00671233" w14:paraId="6A9596AB" w14:textId="77777777">
              <w:trPr>
                <w:trHeight w:val="587"/>
              </w:trPr>
              <w:tc>
                <w:tcPr>
                  <w:tcW w:w="0" w:type="auto"/>
                </w:tcPr>
                <w:p w14:paraId="6A7A22CA" w14:textId="50C09D5E" w:rsidR="00126D28" w:rsidRPr="00671233" w:rsidRDefault="00126D28" w:rsidP="00126D28">
                  <w:pPr>
                    <w:pStyle w:val="Default"/>
                    <w:rPr>
                      <w:sz w:val="22"/>
                      <w:szCs w:val="22"/>
                    </w:rPr>
                  </w:pPr>
                  <w:r w:rsidRPr="00671233">
                    <w:rPr>
                      <w:b/>
                      <w:bCs/>
                      <w:sz w:val="22"/>
                      <w:szCs w:val="22"/>
                    </w:rPr>
                    <w:t xml:space="preserve">What groups </w:t>
                  </w:r>
                  <w:r w:rsidR="00D07C8A">
                    <w:rPr>
                      <w:b/>
                      <w:bCs/>
                      <w:sz w:val="22"/>
                      <w:szCs w:val="22"/>
                    </w:rPr>
                    <w:t>will be required to submit the completed template?</w:t>
                  </w:r>
                  <w:r w:rsidRPr="00671233">
                    <w:rPr>
                      <w:b/>
                      <w:bCs/>
                      <w:sz w:val="22"/>
                      <w:szCs w:val="22"/>
                    </w:rPr>
                    <w:t xml:space="preserve"> </w:t>
                  </w:r>
                </w:p>
              </w:tc>
            </w:tr>
          </w:tbl>
          <w:p w14:paraId="174DC0AE" w14:textId="77777777" w:rsidR="00126D28" w:rsidRPr="00671233" w:rsidRDefault="00126D28"/>
        </w:tc>
        <w:tc>
          <w:tcPr>
            <w:tcW w:w="7245" w:type="dxa"/>
          </w:tcPr>
          <w:tbl>
            <w:tblPr>
              <w:tblW w:w="0" w:type="auto"/>
              <w:tblBorders>
                <w:top w:val="nil"/>
                <w:left w:val="nil"/>
                <w:bottom w:val="nil"/>
                <w:right w:val="nil"/>
              </w:tblBorders>
              <w:tblLook w:val="0000" w:firstRow="0" w:lastRow="0" w:firstColumn="0" w:lastColumn="0" w:noHBand="0" w:noVBand="0"/>
            </w:tblPr>
            <w:tblGrid>
              <w:gridCol w:w="7029"/>
            </w:tblGrid>
            <w:tr w:rsidR="00671233" w14:paraId="3B64748F" w14:textId="77777777">
              <w:trPr>
                <w:trHeight w:val="837"/>
              </w:trPr>
              <w:tc>
                <w:tcPr>
                  <w:tcW w:w="0" w:type="auto"/>
                </w:tcPr>
                <w:p w14:paraId="5986D1D7" w14:textId="77777777" w:rsidR="003F75DE" w:rsidRDefault="00741A69" w:rsidP="003E5E76">
                  <w:pPr>
                    <w:pStyle w:val="Default"/>
                    <w:tabs>
                      <w:tab w:val="left" w:pos="345"/>
                    </w:tabs>
                    <w:rPr>
                      <w:b/>
                      <w:bCs/>
                      <w:sz w:val="22"/>
                      <w:szCs w:val="22"/>
                    </w:rPr>
                  </w:pPr>
                  <w:r>
                    <w:rPr>
                      <w:b/>
                      <w:bCs/>
                      <w:sz w:val="22"/>
                      <w:szCs w:val="22"/>
                    </w:rPr>
                    <w:t xml:space="preserve">Insurance groups supervised the Federal Reserve due to the control of a depository institution.  </w:t>
                  </w:r>
                </w:p>
                <w:p w14:paraId="144EE7CD" w14:textId="77777777" w:rsidR="003F75DE" w:rsidRPr="000A766E" w:rsidRDefault="003F75DE" w:rsidP="003E5E76">
                  <w:pPr>
                    <w:pStyle w:val="Default"/>
                    <w:tabs>
                      <w:tab w:val="left" w:pos="345"/>
                    </w:tabs>
                    <w:rPr>
                      <w:b/>
                      <w:bCs/>
                      <w:sz w:val="16"/>
                      <w:szCs w:val="16"/>
                    </w:rPr>
                  </w:pPr>
                </w:p>
                <w:p w14:paraId="577E9340" w14:textId="3D8FBB04" w:rsidR="004A304D" w:rsidRPr="00615BB3" w:rsidRDefault="004A304D" w:rsidP="003E5E76">
                  <w:pPr>
                    <w:pStyle w:val="Default"/>
                    <w:tabs>
                      <w:tab w:val="left" w:pos="345"/>
                    </w:tabs>
                    <w:rPr>
                      <w:bCs/>
                      <w:sz w:val="22"/>
                      <w:szCs w:val="22"/>
                    </w:rPr>
                  </w:pPr>
                  <w:r w:rsidRPr="00615BB3">
                    <w:rPr>
                      <w:bCs/>
                      <w:sz w:val="22"/>
                      <w:szCs w:val="22"/>
                    </w:rPr>
                    <w:t xml:space="preserve">A depository institution holding company would be subject to the BBA in place of consolidated bank capital rules if 25% of </w:t>
                  </w:r>
                  <w:r w:rsidR="0092786F">
                    <w:rPr>
                      <w:bCs/>
                      <w:sz w:val="22"/>
                      <w:szCs w:val="22"/>
                    </w:rPr>
                    <w:t xml:space="preserve">its </w:t>
                  </w:r>
                  <w:r w:rsidRPr="00615BB3">
                    <w:rPr>
                      <w:bCs/>
                      <w:sz w:val="22"/>
                      <w:szCs w:val="22"/>
                    </w:rPr>
                    <w:t xml:space="preserve">consolidated assets are in insurance subsidiaries or the top-tier company is an insurance underwriting company. </w:t>
                  </w:r>
                </w:p>
                <w:p w14:paraId="1607C901" w14:textId="004E70F1" w:rsidR="004A304D" w:rsidRPr="000A766E" w:rsidRDefault="004A304D" w:rsidP="003E5E76">
                  <w:pPr>
                    <w:pStyle w:val="Default"/>
                    <w:tabs>
                      <w:tab w:val="left" w:pos="345"/>
                    </w:tabs>
                    <w:rPr>
                      <w:bCs/>
                      <w:sz w:val="16"/>
                      <w:szCs w:val="16"/>
                    </w:rPr>
                  </w:pPr>
                </w:p>
                <w:p w14:paraId="03DFCA67" w14:textId="3629CD32" w:rsidR="00671233" w:rsidRDefault="004A304D" w:rsidP="00615BB3">
                  <w:pPr>
                    <w:pStyle w:val="Default"/>
                    <w:tabs>
                      <w:tab w:val="left" w:pos="345"/>
                    </w:tabs>
                    <w:rPr>
                      <w:sz w:val="20"/>
                      <w:szCs w:val="20"/>
                    </w:rPr>
                  </w:pPr>
                  <w:r w:rsidRPr="00615BB3">
                    <w:rPr>
                      <w:bCs/>
                      <w:sz w:val="22"/>
                      <w:szCs w:val="22"/>
                    </w:rPr>
                    <w:t xml:space="preserve">The Fed also retains authority to apply to the BBA to other institutions it regulates.  </w:t>
                  </w:r>
                </w:p>
              </w:tc>
            </w:tr>
          </w:tbl>
          <w:p w14:paraId="1CE58B69" w14:textId="77777777" w:rsidR="00126D28" w:rsidRDefault="00126D28"/>
        </w:tc>
        <w:tc>
          <w:tcPr>
            <w:tcW w:w="5985" w:type="dxa"/>
          </w:tcPr>
          <w:p w14:paraId="2D21F777" w14:textId="19270405" w:rsidR="00126D28" w:rsidRPr="001B53B9" w:rsidRDefault="00FA3AD1">
            <w:pPr>
              <w:rPr>
                <w:b/>
                <w:bCs/>
              </w:rPr>
            </w:pPr>
            <w:r w:rsidRPr="001B53B9">
              <w:rPr>
                <w:b/>
                <w:bCs/>
              </w:rPr>
              <w:t>To be determined based on final version of amendment to the Holding Company Model Act</w:t>
            </w:r>
            <w:r w:rsidR="001B53B9">
              <w:rPr>
                <w:b/>
                <w:bCs/>
              </w:rPr>
              <w:t>.</w:t>
            </w:r>
          </w:p>
        </w:tc>
      </w:tr>
      <w:tr w:rsidR="000A766E" w14:paraId="7F377929" w14:textId="77777777" w:rsidTr="000A766E">
        <w:tc>
          <w:tcPr>
            <w:tcW w:w="1890" w:type="dxa"/>
          </w:tcPr>
          <w:tbl>
            <w:tblPr>
              <w:tblW w:w="0" w:type="auto"/>
              <w:tblBorders>
                <w:top w:val="nil"/>
                <w:left w:val="nil"/>
                <w:bottom w:val="nil"/>
                <w:right w:val="nil"/>
              </w:tblBorders>
              <w:tblLook w:val="0000" w:firstRow="0" w:lastRow="0" w:firstColumn="0" w:lastColumn="0" w:noHBand="0" w:noVBand="0"/>
            </w:tblPr>
            <w:tblGrid>
              <w:gridCol w:w="1674"/>
            </w:tblGrid>
            <w:tr w:rsidR="00126D28" w:rsidRPr="00671233" w14:paraId="60622B83" w14:textId="77777777">
              <w:trPr>
                <w:trHeight w:val="587"/>
              </w:trPr>
              <w:tc>
                <w:tcPr>
                  <w:tcW w:w="0" w:type="auto"/>
                </w:tcPr>
                <w:p w14:paraId="517DC101" w14:textId="77777777" w:rsidR="00126D28" w:rsidRPr="00671233" w:rsidRDefault="00126D28" w:rsidP="00126D28">
                  <w:pPr>
                    <w:pStyle w:val="Default"/>
                    <w:rPr>
                      <w:sz w:val="22"/>
                      <w:szCs w:val="22"/>
                    </w:rPr>
                  </w:pPr>
                  <w:r w:rsidRPr="00671233">
                    <w:rPr>
                      <w:sz w:val="22"/>
                      <w:szCs w:val="22"/>
                    </w:rPr>
                    <w:t xml:space="preserve"> </w:t>
                  </w:r>
                  <w:r w:rsidRPr="00671233">
                    <w:rPr>
                      <w:b/>
                      <w:bCs/>
                      <w:sz w:val="22"/>
                      <w:szCs w:val="22"/>
                    </w:rPr>
                    <w:t xml:space="preserve">What is the scope of application of the calculation? </w:t>
                  </w:r>
                </w:p>
              </w:tc>
            </w:tr>
          </w:tbl>
          <w:p w14:paraId="4ABA19D0" w14:textId="77777777" w:rsidR="00126D28" w:rsidRPr="00671233" w:rsidRDefault="00126D28"/>
        </w:tc>
        <w:tc>
          <w:tcPr>
            <w:tcW w:w="7245" w:type="dxa"/>
          </w:tcPr>
          <w:tbl>
            <w:tblPr>
              <w:tblW w:w="0" w:type="auto"/>
              <w:tblBorders>
                <w:top w:val="nil"/>
                <w:left w:val="nil"/>
                <w:bottom w:val="nil"/>
                <w:right w:val="nil"/>
              </w:tblBorders>
              <w:tblLook w:val="0000" w:firstRow="0" w:lastRow="0" w:firstColumn="0" w:lastColumn="0" w:noHBand="0" w:noVBand="0"/>
            </w:tblPr>
            <w:tblGrid>
              <w:gridCol w:w="7029"/>
            </w:tblGrid>
            <w:tr w:rsidR="005741F6" w:rsidRPr="005741F6" w14:paraId="08C89A7B" w14:textId="77777777">
              <w:trPr>
                <w:trHeight w:val="2356"/>
              </w:trPr>
              <w:tc>
                <w:tcPr>
                  <w:tcW w:w="0" w:type="auto"/>
                </w:tcPr>
                <w:p w14:paraId="09AED84A" w14:textId="0176F099" w:rsidR="005741F6" w:rsidRPr="005741F6" w:rsidRDefault="005741F6" w:rsidP="005741F6">
                  <w:pPr>
                    <w:autoSpaceDE w:val="0"/>
                    <w:autoSpaceDN w:val="0"/>
                    <w:adjustRightInd w:val="0"/>
                    <w:spacing w:after="0" w:line="240" w:lineRule="auto"/>
                    <w:rPr>
                      <w:rFonts w:ascii="Calibri" w:hAnsi="Calibri" w:cs="Calibri"/>
                      <w:color w:val="000000"/>
                    </w:rPr>
                  </w:pPr>
                  <w:r w:rsidRPr="005741F6">
                    <w:rPr>
                      <w:rFonts w:ascii="Calibri" w:hAnsi="Calibri" w:cs="Calibri"/>
                      <w:b/>
                      <w:bCs/>
                      <w:color w:val="000000"/>
                    </w:rPr>
                    <w:t xml:space="preserve">Include all entities that are owned or controlled by a top-tier depository institution (DI) hold co </w:t>
                  </w:r>
                </w:p>
                <w:p w14:paraId="01BC8262" w14:textId="188416FC" w:rsidR="00001A20" w:rsidRDefault="00001A20" w:rsidP="005741F6">
                  <w:pPr>
                    <w:numPr>
                      <w:ilvl w:val="0"/>
                      <w:numId w:val="2"/>
                    </w:numPr>
                    <w:tabs>
                      <w:tab w:val="left" w:pos="375"/>
                    </w:tabs>
                    <w:autoSpaceDE w:val="0"/>
                    <w:autoSpaceDN w:val="0"/>
                    <w:adjustRightInd w:val="0"/>
                    <w:spacing w:after="0" w:line="240" w:lineRule="auto"/>
                    <w:rPr>
                      <w:rFonts w:ascii="Calibri" w:hAnsi="Calibri" w:cs="Calibri"/>
                      <w:color w:val="000000"/>
                    </w:rPr>
                  </w:pPr>
                  <w:r>
                    <w:rPr>
                      <w:rFonts w:ascii="Calibri" w:hAnsi="Calibri" w:cs="Calibri"/>
                      <w:color w:val="000000"/>
                    </w:rPr>
                    <w:t>A top-tier DI hold co is a company that controls a depository institution and is not controlled by another company</w:t>
                  </w:r>
                </w:p>
                <w:p w14:paraId="13AC4F53" w14:textId="19CDA841" w:rsidR="005741F6" w:rsidRPr="005741F6" w:rsidRDefault="005741F6" w:rsidP="005741F6">
                  <w:pPr>
                    <w:numPr>
                      <w:ilvl w:val="0"/>
                      <w:numId w:val="2"/>
                    </w:numPr>
                    <w:tabs>
                      <w:tab w:val="left" w:pos="375"/>
                    </w:tabs>
                    <w:autoSpaceDE w:val="0"/>
                    <w:autoSpaceDN w:val="0"/>
                    <w:adjustRightInd w:val="0"/>
                    <w:spacing w:after="0" w:line="240" w:lineRule="auto"/>
                    <w:rPr>
                      <w:rFonts w:ascii="Calibri" w:hAnsi="Calibri" w:cs="Calibri"/>
                      <w:color w:val="000000"/>
                    </w:rPr>
                  </w:pPr>
                  <w:r w:rsidRPr="005741F6">
                    <w:rPr>
                      <w:rFonts w:ascii="Calibri" w:hAnsi="Calibri" w:cs="Calibri"/>
                      <w:color w:val="000000"/>
                    </w:rPr>
                    <w:t xml:space="preserve"> Use NAIC Schedule Y, FR Y-6, FR Y-10 to create the inventory, plus any company, SPV, variable interest entity or similar entity that (i) enters into 1 or more reinsurance or derivative transactions with an inventory company; (ii) is material; (iii) is engaged in activities such that 1 or more of the inventory companies identified are expected to absorb more than 50% of its expected losses. </w:t>
                  </w:r>
                </w:p>
                <w:p w14:paraId="494C2231" w14:textId="32B2EE97" w:rsidR="005741F6" w:rsidRPr="005741F6" w:rsidRDefault="003F75DE" w:rsidP="000E72E3">
                  <w:pPr>
                    <w:numPr>
                      <w:ilvl w:val="0"/>
                      <w:numId w:val="2"/>
                    </w:numPr>
                    <w:tabs>
                      <w:tab w:val="left" w:pos="345"/>
                    </w:tabs>
                    <w:autoSpaceDE w:val="0"/>
                    <w:autoSpaceDN w:val="0"/>
                    <w:adjustRightInd w:val="0"/>
                    <w:spacing w:after="0" w:line="240" w:lineRule="auto"/>
                    <w:rPr>
                      <w:rFonts w:ascii="Calibri" w:hAnsi="Calibri" w:cs="Calibri"/>
                      <w:color w:val="000000"/>
                      <w:sz w:val="20"/>
                      <w:szCs w:val="20"/>
                    </w:rPr>
                  </w:pPr>
                  <w:r>
                    <w:rPr>
                      <w:rFonts w:ascii="Calibri" w:hAnsi="Calibri" w:cs="Calibri"/>
                      <w:color w:val="000000"/>
                    </w:rPr>
                    <w:t xml:space="preserve">The </w:t>
                  </w:r>
                  <w:r w:rsidR="005741F6" w:rsidRPr="005741F6">
                    <w:rPr>
                      <w:rFonts w:ascii="Calibri" w:hAnsi="Calibri" w:cs="Calibri"/>
                      <w:color w:val="000000"/>
                    </w:rPr>
                    <w:t xml:space="preserve">Fed has discretion to add other companies </w:t>
                  </w:r>
                </w:p>
              </w:tc>
            </w:tr>
          </w:tbl>
          <w:p w14:paraId="607D14A1" w14:textId="77777777" w:rsidR="00126D28" w:rsidRDefault="00126D28"/>
        </w:tc>
        <w:tc>
          <w:tcPr>
            <w:tcW w:w="5985" w:type="dxa"/>
          </w:tcPr>
          <w:p w14:paraId="3C13A933" w14:textId="77777777" w:rsidR="00126D28" w:rsidRPr="00FA3AD1" w:rsidRDefault="00FA3AD1">
            <w:pPr>
              <w:rPr>
                <w:b/>
                <w:bCs/>
              </w:rPr>
            </w:pPr>
            <w:r w:rsidRPr="00FA3AD1">
              <w:rPr>
                <w:b/>
                <w:bCs/>
              </w:rPr>
              <w:t>Starting point is Ultimate Controlling Person (UCP).</w:t>
            </w:r>
          </w:p>
          <w:p w14:paraId="1665205A" w14:textId="7C029581" w:rsidR="00FA3AD1" w:rsidRDefault="00FA3AD1" w:rsidP="00FA3AD1">
            <w:pPr>
              <w:pStyle w:val="ListParagraph"/>
              <w:numPr>
                <w:ilvl w:val="0"/>
                <w:numId w:val="5"/>
              </w:numPr>
              <w:ind w:left="241" w:hanging="241"/>
            </w:pPr>
            <w:r>
              <w:t>All insurers, banks and other financial entities within the group must be included.</w:t>
            </w:r>
          </w:p>
          <w:p w14:paraId="0A2E6F1A" w14:textId="25847B64" w:rsidR="00FA3AD1" w:rsidRDefault="00FA3AD1" w:rsidP="00FA3AD1">
            <w:pPr>
              <w:pStyle w:val="ListParagraph"/>
              <w:numPr>
                <w:ilvl w:val="0"/>
                <w:numId w:val="5"/>
              </w:numPr>
              <w:ind w:left="241" w:hanging="241"/>
            </w:pPr>
            <w:r>
              <w:t>All entities within the defined insurance group must be included.</w:t>
            </w:r>
          </w:p>
          <w:p w14:paraId="667E6D0A" w14:textId="5D5DED52" w:rsidR="00FA3AD1" w:rsidRDefault="00FA3AD1" w:rsidP="00FA3AD1">
            <w:pPr>
              <w:pStyle w:val="ListParagraph"/>
              <w:numPr>
                <w:ilvl w:val="0"/>
                <w:numId w:val="5"/>
              </w:numPr>
              <w:ind w:left="241" w:hanging="241"/>
            </w:pPr>
            <w:r>
              <w:t>Non-financial entities in the broader group may be excluded.</w:t>
            </w:r>
          </w:p>
          <w:p w14:paraId="398D5D0C" w14:textId="24C0E02F" w:rsidR="00FA3AD1" w:rsidRDefault="00FA3AD1"/>
        </w:tc>
      </w:tr>
      <w:tr w:rsidR="000A766E" w14:paraId="306AA017" w14:textId="77777777" w:rsidTr="000A766E">
        <w:tc>
          <w:tcPr>
            <w:tcW w:w="1890" w:type="dxa"/>
          </w:tcPr>
          <w:p w14:paraId="0B32783B" w14:textId="680139FC" w:rsidR="00126D28" w:rsidRPr="0030089D" w:rsidRDefault="00126D28" w:rsidP="00126D28">
            <w:pPr>
              <w:pStyle w:val="Default"/>
              <w:rPr>
                <w:b/>
                <w:bCs/>
                <w:sz w:val="22"/>
                <w:szCs w:val="22"/>
              </w:rPr>
            </w:pPr>
            <w:r w:rsidRPr="0030089D">
              <w:rPr>
                <w:b/>
                <w:bCs/>
                <w:sz w:val="22"/>
                <w:szCs w:val="22"/>
              </w:rPr>
              <w:t>Exclusions</w:t>
            </w:r>
          </w:p>
        </w:tc>
        <w:tc>
          <w:tcPr>
            <w:tcW w:w="7245" w:type="dxa"/>
          </w:tcPr>
          <w:p w14:paraId="62DD6AEC" w14:textId="77777777" w:rsidR="001B53B9" w:rsidRDefault="00B66367" w:rsidP="00842F6A">
            <w:pPr>
              <w:rPr>
                <w:b/>
                <w:bCs/>
              </w:rPr>
            </w:pPr>
            <w:r w:rsidRPr="0030089D">
              <w:rPr>
                <w:b/>
                <w:bCs/>
              </w:rPr>
              <w:t>Generally,</w:t>
            </w:r>
            <w:r w:rsidR="005741F6" w:rsidRPr="0030089D">
              <w:rPr>
                <w:b/>
                <w:bCs/>
              </w:rPr>
              <w:t xml:space="preserve"> no</w:t>
            </w:r>
            <w:r w:rsidR="00001A20" w:rsidRPr="0030089D">
              <w:rPr>
                <w:b/>
                <w:bCs/>
              </w:rPr>
              <w:t>ne</w:t>
            </w:r>
            <w:r w:rsidR="001B53B9">
              <w:rPr>
                <w:b/>
                <w:bCs/>
              </w:rPr>
              <w:t>.</w:t>
            </w:r>
          </w:p>
          <w:p w14:paraId="2A3B1713" w14:textId="24C08BAF" w:rsidR="00126D28" w:rsidRPr="0030089D" w:rsidRDefault="001B53B9" w:rsidP="00842F6A">
            <w:pPr>
              <w:rPr>
                <w:bCs/>
              </w:rPr>
            </w:pPr>
            <w:r>
              <w:rPr>
                <w:bCs/>
              </w:rPr>
              <w:t>H</w:t>
            </w:r>
            <w:r w:rsidR="00001A20" w:rsidRPr="0030089D">
              <w:rPr>
                <w:bCs/>
              </w:rPr>
              <w:t>owever,</w:t>
            </w:r>
            <w:r w:rsidR="00AA30E0" w:rsidRPr="0030089D">
              <w:rPr>
                <w:bCs/>
              </w:rPr>
              <w:t xml:space="preserve"> the Fed retains broad discretion to modify the calculation based on a vote of the Board.  </w:t>
            </w:r>
            <w:r w:rsidR="00DF388B" w:rsidRPr="0030089D">
              <w:rPr>
                <w:bCs/>
              </w:rPr>
              <w:t xml:space="preserve">The Fed has indicated </w:t>
            </w:r>
            <w:r w:rsidR="00AA30E0" w:rsidRPr="0030089D">
              <w:rPr>
                <w:bCs/>
              </w:rPr>
              <w:t xml:space="preserve">that this discretion may be </w:t>
            </w:r>
            <w:r w:rsidR="00DF388B" w:rsidRPr="0030089D">
              <w:rPr>
                <w:bCs/>
              </w:rPr>
              <w:t>exercised</w:t>
            </w:r>
            <w:r w:rsidR="00AA30E0" w:rsidRPr="0030089D">
              <w:rPr>
                <w:bCs/>
              </w:rPr>
              <w:t xml:space="preserve"> to exclude </w:t>
            </w:r>
            <w:r w:rsidR="00842F6A" w:rsidRPr="0030089D">
              <w:rPr>
                <w:bCs/>
              </w:rPr>
              <w:t xml:space="preserve">a parent company if the parent company </w:t>
            </w:r>
            <w:r w:rsidR="00DF388B" w:rsidRPr="0030089D">
              <w:rPr>
                <w:bCs/>
              </w:rPr>
              <w:t xml:space="preserve">has significant </w:t>
            </w:r>
            <w:r w:rsidR="00842F6A" w:rsidRPr="0030089D">
              <w:rPr>
                <w:bCs/>
              </w:rPr>
              <w:t xml:space="preserve">non-financial </w:t>
            </w:r>
            <w:r w:rsidR="00DF388B" w:rsidRPr="0030089D">
              <w:rPr>
                <w:bCs/>
              </w:rPr>
              <w:t xml:space="preserve">commercial activities and </w:t>
            </w:r>
            <w:r w:rsidR="00842F6A" w:rsidRPr="0030089D">
              <w:rPr>
                <w:bCs/>
              </w:rPr>
              <w:t>the parent company owns a mid-tier company that conducts the group’s financial operations</w:t>
            </w:r>
          </w:p>
        </w:tc>
        <w:tc>
          <w:tcPr>
            <w:tcW w:w="5985" w:type="dxa"/>
          </w:tcPr>
          <w:p w14:paraId="2B99EE97" w14:textId="2951E109" w:rsidR="00126D28" w:rsidRPr="00771543" w:rsidRDefault="00FA3AD1">
            <w:pPr>
              <w:rPr>
                <w:b/>
                <w:bCs/>
              </w:rPr>
            </w:pPr>
            <w:r w:rsidRPr="00771543">
              <w:rPr>
                <w:b/>
                <w:bCs/>
              </w:rPr>
              <w:t>Non-financial entities may be excluded upon either:</w:t>
            </w:r>
          </w:p>
          <w:p w14:paraId="4532CD7E" w14:textId="09A9C4EA" w:rsidR="00FA3AD1" w:rsidRDefault="0005506F" w:rsidP="00615BB3">
            <w:pPr>
              <w:pStyle w:val="ListParagraph"/>
              <w:numPr>
                <w:ilvl w:val="0"/>
                <w:numId w:val="6"/>
              </w:numPr>
              <w:ind w:left="196" w:hanging="196"/>
            </w:pPr>
            <w:r>
              <w:t>Request in the template</w:t>
            </w:r>
            <w:r w:rsidR="00615BB3">
              <w:t xml:space="preserve"> for any non-insurance / non-financial entity outside the defined insurance group without material risk.  Such entity will be excluded from the GCC if lead-State regulator agrees.</w:t>
            </w:r>
          </w:p>
          <w:p w14:paraId="37F0EAC0" w14:textId="1B9682E8" w:rsidR="00FA3AD1" w:rsidRDefault="0005506F" w:rsidP="00615BB3">
            <w:pPr>
              <w:pStyle w:val="ListParagraph"/>
              <w:numPr>
                <w:ilvl w:val="0"/>
                <w:numId w:val="6"/>
              </w:numPr>
              <w:ind w:left="196" w:hanging="196"/>
            </w:pPr>
            <w:r>
              <w:t xml:space="preserve">For large diverse groups upon agreement with lead-State to exclude </w:t>
            </w:r>
            <w:r w:rsidR="00615BB3">
              <w:t xml:space="preserve">non-financial entities outside the defined insurance group </w:t>
            </w:r>
            <w:r>
              <w:t>from template.</w:t>
            </w:r>
          </w:p>
        </w:tc>
      </w:tr>
      <w:tr w:rsidR="000A766E" w14:paraId="57D38555" w14:textId="77777777" w:rsidTr="000A766E">
        <w:tc>
          <w:tcPr>
            <w:tcW w:w="1890" w:type="dxa"/>
          </w:tcPr>
          <w:p w14:paraId="30352899" w14:textId="309AFDF4" w:rsidR="00126D28" w:rsidRPr="0030089D" w:rsidRDefault="00671233" w:rsidP="00126D28">
            <w:pPr>
              <w:pStyle w:val="Default"/>
              <w:rPr>
                <w:b/>
                <w:bCs/>
                <w:sz w:val="22"/>
                <w:szCs w:val="22"/>
              </w:rPr>
            </w:pPr>
            <w:r w:rsidRPr="0030089D">
              <w:rPr>
                <w:b/>
                <w:bCs/>
                <w:sz w:val="22"/>
                <w:szCs w:val="22"/>
              </w:rPr>
              <w:t>Grouping</w:t>
            </w:r>
            <w:r w:rsidR="005D6EBC">
              <w:rPr>
                <w:b/>
                <w:bCs/>
                <w:sz w:val="22"/>
                <w:szCs w:val="22"/>
              </w:rPr>
              <w:t xml:space="preserve"> / De</w:t>
            </w:r>
            <w:r w:rsidR="00891087">
              <w:rPr>
                <w:b/>
                <w:bCs/>
                <w:sz w:val="22"/>
                <w:szCs w:val="22"/>
              </w:rPr>
              <w:t>-</w:t>
            </w:r>
            <w:r w:rsidR="005D6EBC">
              <w:rPr>
                <w:b/>
                <w:bCs/>
                <w:sz w:val="22"/>
                <w:szCs w:val="22"/>
              </w:rPr>
              <w:t>stacking</w:t>
            </w:r>
          </w:p>
        </w:tc>
        <w:tc>
          <w:tcPr>
            <w:tcW w:w="7245" w:type="dxa"/>
          </w:tcPr>
          <w:p w14:paraId="7157A3E0" w14:textId="1022598A" w:rsidR="005D6EBC" w:rsidRDefault="009958F8" w:rsidP="008C2D37">
            <w:pPr>
              <w:rPr>
                <w:b/>
                <w:bCs/>
              </w:rPr>
            </w:pPr>
            <w:r w:rsidRPr="0030089D">
              <w:rPr>
                <w:b/>
                <w:bCs/>
              </w:rPr>
              <w:t xml:space="preserve">The BBA’s </w:t>
            </w:r>
            <w:r w:rsidR="00DF1C37" w:rsidRPr="0030089D">
              <w:rPr>
                <w:b/>
                <w:bCs/>
              </w:rPr>
              <w:t xml:space="preserve">groupings result from </w:t>
            </w:r>
            <w:r w:rsidR="00944F89" w:rsidRPr="0030089D">
              <w:rPr>
                <w:b/>
                <w:bCs/>
              </w:rPr>
              <w:t>it</w:t>
            </w:r>
            <w:r w:rsidR="00DF1C37" w:rsidRPr="0030089D">
              <w:rPr>
                <w:b/>
                <w:bCs/>
              </w:rPr>
              <w:t xml:space="preserve">s de-stacking </w:t>
            </w:r>
            <w:r w:rsidR="00891087" w:rsidRPr="0030089D">
              <w:rPr>
                <w:b/>
                <w:bCs/>
              </w:rPr>
              <w:t>rules.</w:t>
            </w:r>
            <w:r w:rsidR="004008BF" w:rsidRPr="0030089D">
              <w:rPr>
                <w:bCs/>
              </w:rPr>
              <w:t xml:space="preserve">  These rules result in the </w:t>
            </w:r>
            <w:r w:rsidR="00DF1C37" w:rsidRPr="0030089D">
              <w:rPr>
                <w:bCs/>
              </w:rPr>
              <w:t>identification of “</w:t>
            </w:r>
            <w:r w:rsidR="00E66DA0">
              <w:rPr>
                <w:bCs/>
              </w:rPr>
              <w:t>B</w:t>
            </w:r>
            <w:r w:rsidR="00DF1C37" w:rsidRPr="0030089D">
              <w:rPr>
                <w:bCs/>
              </w:rPr>
              <w:t xml:space="preserve">uilding </w:t>
            </w:r>
            <w:r w:rsidR="00E66DA0">
              <w:rPr>
                <w:bCs/>
              </w:rPr>
              <w:t>B</w:t>
            </w:r>
            <w:r w:rsidR="00DF1C37" w:rsidRPr="0030089D">
              <w:rPr>
                <w:bCs/>
              </w:rPr>
              <w:t xml:space="preserve">lock </w:t>
            </w:r>
            <w:r w:rsidR="00E66DA0">
              <w:rPr>
                <w:bCs/>
              </w:rPr>
              <w:t>P</w:t>
            </w:r>
            <w:r w:rsidR="00DF1C37" w:rsidRPr="0030089D">
              <w:rPr>
                <w:bCs/>
              </w:rPr>
              <w:t>arents</w:t>
            </w:r>
            <w:r w:rsidR="004008BF" w:rsidRPr="0030089D">
              <w:rPr>
                <w:bCs/>
              </w:rPr>
              <w:t>,</w:t>
            </w:r>
            <w:r w:rsidR="00893936" w:rsidRPr="0030089D">
              <w:rPr>
                <w:bCs/>
              </w:rPr>
              <w:t xml:space="preserve">” </w:t>
            </w:r>
            <w:r w:rsidR="004008BF" w:rsidRPr="0030089D">
              <w:rPr>
                <w:bCs/>
              </w:rPr>
              <w:t>which are</w:t>
            </w:r>
            <w:r w:rsidR="00893936" w:rsidRPr="0030089D">
              <w:rPr>
                <w:bCs/>
              </w:rPr>
              <w:t xml:space="preserve"> top en</w:t>
            </w:r>
            <w:r w:rsidR="00A23198" w:rsidRPr="0030089D">
              <w:rPr>
                <w:bCs/>
              </w:rPr>
              <w:t xml:space="preserve">tities within building blocks.  Building Block Parents </w:t>
            </w:r>
            <w:r w:rsidR="008A50D3">
              <w:rPr>
                <w:bCs/>
              </w:rPr>
              <w:t xml:space="preserve">are aggregated to calculate the group’s capital ratio.  </w:t>
            </w:r>
            <w:r w:rsidR="00944F89">
              <w:rPr>
                <w:bCs/>
              </w:rPr>
              <w:t xml:space="preserve">Companies that are not </w:t>
            </w:r>
            <w:r w:rsidR="008C2D37">
              <w:rPr>
                <w:bCs/>
              </w:rPr>
              <w:t>B</w:t>
            </w:r>
            <w:r w:rsidR="00944F89">
              <w:rPr>
                <w:bCs/>
              </w:rPr>
              <w:t xml:space="preserve">uilding </w:t>
            </w:r>
            <w:r w:rsidR="008C2D37">
              <w:rPr>
                <w:bCs/>
              </w:rPr>
              <w:t>B</w:t>
            </w:r>
            <w:r w:rsidR="00944F89">
              <w:rPr>
                <w:bCs/>
              </w:rPr>
              <w:t xml:space="preserve">lock </w:t>
            </w:r>
            <w:r w:rsidR="008C2D37">
              <w:rPr>
                <w:bCs/>
              </w:rPr>
              <w:t>P</w:t>
            </w:r>
            <w:r w:rsidR="00944F89">
              <w:rPr>
                <w:bCs/>
              </w:rPr>
              <w:t xml:space="preserve">arents are not separately aggregated.  </w:t>
            </w:r>
            <w:r w:rsidR="00A2413A">
              <w:rPr>
                <w:b/>
                <w:bCs/>
              </w:rPr>
              <w:t xml:space="preserve"> </w:t>
            </w:r>
          </w:p>
          <w:p w14:paraId="026337AC" w14:textId="55CC629E" w:rsidR="005D6EBC" w:rsidRPr="0030089D" w:rsidRDefault="00E023A4" w:rsidP="008C2D37">
            <w:pPr>
              <w:rPr>
                <w:b/>
                <w:bCs/>
              </w:rPr>
            </w:pPr>
            <w:r>
              <w:rPr>
                <w:bCs/>
              </w:rPr>
              <w:lastRenderedPageBreak/>
              <w:t xml:space="preserve">Entities </w:t>
            </w:r>
            <w:r w:rsidR="005D6EBC" w:rsidRPr="0030089D">
              <w:rPr>
                <w:bCs/>
              </w:rPr>
              <w:t>would typically be de</w:t>
            </w:r>
            <w:r w:rsidR="00911034">
              <w:rPr>
                <w:bCs/>
              </w:rPr>
              <w:t>-</w:t>
            </w:r>
            <w:r w:rsidR="005D6EBC" w:rsidRPr="0030089D">
              <w:rPr>
                <w:bCs/>
              </w:rPr>
              <w:t xml:space="preserve">stacked only if they are capital regulated in a framework that differs from their upstream parent companies or they are an unregulated material financial entity.  </w:t>
            </w:r>
          </w:p>
        </w:tc>
        <w:tc>
          <w:tcPr>
            <w:tcW w:w="5985" w:type="dxa"/>
          </w:tcPr>
          <w:p w14:paraId="01552E2D" w14:textId="10B0C857" w:rsidR="00126D28" w:rsidRPr="00771543" w:rsidRDefault="00E023A4">
            <w:pPr>
              <w:rPr>
                <w:b/>
                <w:bCs/>
              </w:rPr>
            </w:pPr>
            <w:r>
              <w:rPr>
                <w:b/>
                <w:bCs/>
              </w:rPr>
              <w:lastRenderedPageBreak/>
              <w:t>Grouping applies post de-stacking and appl</w:t>
            </w:r>
            <w:r w:rsidR="00752253">
              <w:rPr>
                <w:b/>
                <w:bCs/>
              </w:rPr>
              <w:t>i</w:t>
            </w:r>
            <w:r>
              <w:rPr>
                <w:b/>
                <w:bCs/>
              </w:rPr>
              <w:t xml:space="preserve">es as follows: </w:t>
            </w:r>
          </w:p>
          <w:p w14:paraId="01A81FC4" w14:textId="7A929DFB" w:rsidR="00370A4F" w:rsidRDefault="00370A4F" w:rsidP="00911034">
            <w:pPr>
              <w:pStyle w:val="ListParagraph"/>
              <w:numPr>
                <w:ilvl w:val="0"/>
                <w:numId w:val="7"/>
              </w:numPr>
              <w:ind w:left="196" w:hanging="196"/>
            </w:pPr>
            <w:r>
              <w:t>For financial entities without regulatory capital requirement with similar business purposes and same accounting basis.</w:t>
            </w:r>
          </w:p>
          <w:p w14:paraId="4D342D94" w14:textId="3961D7FF" w:rsidR="005D6EBC" w:rsidRDefault="00370A4F" w:rsidP="00911034">
            <w:pPr>
              <w:pStyle w:val="ListParagraph"/>
              <w:numPr>
                <w:ilvl w:val="0"/>
                <w:numId w:val="7"/>
              </w:numPr>
              <w:ind w:left="196" w:hanging="196"/>
            </w:pPr>
            <w:r>
              <w:t>For non-financial entities with similar business purposes and same accounting basis.</w:t>
            </w:r>
          </w:p>
          <w:p w14:paraId="38B9B3B2" w14:textId="07AF6024" w:rsidR="003E2512" w:rsidRDefault="00E023A4" w:rsidP="005D6EBC">
            <w:r w:rsidRPr="00911034">
              <w:lastRenderedPageBreak/>
              <w:t xml:space="preserve">Entities </w:t>
            </w:r>
            <w:r w:rsidR="00401650">
              <w:t xml:space="preserve">that are </w:t>
            </w:r>
            <w:r w:rsidRPr="00911034">
              <w:t>included in the GCC are generally de-stacked</w:t>
            </w:r>
            <w:r w:rsidR="00401650">
              <w:t xml:space="preserve">. </w:t>
            </w:r>
            <w:r w:rsidR="003E2512">
              <w:t>Exceptions include:</w:t>
            </w:r>
          </w:p>
          <w:p w14:paraId="3C959AD3" w14:textId="4B4914E9" w:rsidR="003E2512" w:rsidRDefault="003E2512" w:rsidP="003E2512">
            <w:pPr>
              <w:pStyle w:val="ListParagraph"/>
              <w:numPr>
                <w:ilvl w:val="0"/>
                <w:numId w:val="14"/>
              </w:numPr>
              <w:ind w:left="211" w:hanging="180"/>
            </w:pPr>
            <w:r>
              <w:t>N</w:t>
            </w:r>
            <w:r w:rsidR="00E023A4" w:rsidRPr="00911034">
              <w:t>on-financial</w:t>
            </w:r>
            <w:r w:rsidR="005D6EBC" w:rsidRPr="00911034">
              <w:t xml:space="preserve"> subsidiaries of RBC filing Insurers</w:t>
            </w:r>
          </w:p>
          <w:p w14:paraId="335B7CE7" w14:textId="21F2203E" w:rsidR="005D6EBC" w:rsidRPr="00911034" w:rsidRDefault="003E2512" w:rsidP="003E2512">
            <w:pPr>
              <w:pStyle w:val="ListParagraph"/>
              <w:numPr>
                <w:ilvl w:val="0"/>
                <w:numId w:val="14"/>
              </w:numPr>
              <w:ind w:left="211" w:hanging="180"/>
            </w:pPr>
            <w:r>
              <w:t>A</w:t>
            </w:r>
            <w:r w:rsidR="00401650">
              <w:t xml:space="preserve">ny </w:t>
            </w:r>
            <w:r w:rsidR="00E023A4" w:rsidRPr="00911034">
              <w:t>subsidiar</w:t>
            </w:r>
            <w:r>
              <w:t>y</w:t>
            </w:r>
            <w:r w:rsidR="00E023A4" w:rsidRPr="00911034">
              <w:t xml:space="preserve"> </w:t>
            </w:r>
            <w:r w:rsidR="00BA0984">
              <w:t xml:space="preserve">without </w:t>
            </w:r>
            <w:r w:rsidR="00B02CD4">
              <w:t xml:space="preserve">a </w:t>
            </w:r>
            <w:r w:rsidR="00BA0984">
              <w:t xml:space="preserve">stand-alone regulatory capital requirement </w:t>
            </w:r>
            <w:r w:rsidR="00B02CD4">
              <w:t xml:space="preserve">that </w:t>
            </w:r>
            <w:r>
              <w:t>is</w:t>
            </w:r>
            <w:r w:rsidR="00B02CD4">
              <w:t xml:space="preserve"> owned by </w:t>
            </w:r>
            <w:r>
              <w:t>a</w:t>
            </w:r>
            <w:r w:rsidR="005D6EBC" w:rsidRPr="00911034">
              <w:t xml:space="preserve"> </w:t>
            </w:r>
            <w:r w:rsidR="00401650">
              <w:t xml:space="preserve">Parent </w:t>
            </w:r>
            <w:r w:rsidR="005D6EBC" w:rsidRPr="00911034">
              <w:t>entit</w:t>
            </w:r>
            <w:r>
              <w:t xml:space="preserve">y </w:t>
            </w:r>
            <w:r w:rsidR="00B02CD4">
              <w:t xml:space="preserve">that </w:t>
            </w:r>
            <w:r>
              <w:t>is</w:t>
            </w:r>
            <w:r w:rsidR="00B02CD4">
              <w:t xml:space="preserve"> subject to</w:t>
            </w:r>
            <w:r w:rsidR="005D6EBC" w:rsidRPr="00911034">
              <w:t xml:space="preserve"> a regulatory capital requirement </w:t>
            </w:r>
            <w:r w:rsidR="00E023A4" w:rsidRPr="00911034">
              <w:t xml:space="preserve">(e.g. foreign insurers or banks) </w:t>
            </w:r>
            <w:r w:rsidR="005D6EBC" w:rsidRPr="00911034">
              <w:t xml:space="preserve">that includes </w:t>
            </w:r>
            <w:r w:rsidR="00BA0984">
              <w:t>the subsidiary</w:t>
            </w:r>
            <w:r>
              <w:t>.</w:t>
            </w:r>
            <w:r w:rsidR="00BA0984">
              <w:t xml:space="preserve"> </w:t>
            </w:r>
          </w:p>
        </w:tc>
      </w:tr>
      <w:tr w:rsidR="000A766E" w14:paraId="58BCD3E1" w14:textId="77777777" w:rsidTr="000A766E">
        <w:tc>
          <w:tcPr>
            <w:tcW w:w="1890" w:type="dxa"/>
          </w:tcPr>
          <w:p w14:paraId="667BCD5F" w14:textId="497EF200" w:rsidR="00671233" w:rsidRPr="00671233" w:rsidRDefault="00671233" w:rsidP="00126D28">
            <w:pPr>
              <w:pStyle w:val="Default"/>
              <w:rPr>
                <w:b/>
                <w:bCs/>
                <w:sz w:val="22"/>
                <w:szCs w:val="22"/>
              </w:rPr>
            </w:pPr>
            <w:r w:rsidRPr="00671233">
              <w:rPr>
                <w:b/>
                <w:bCs/>
                <w:sz w:val="22"/>
                <w:szCs w:val="22"/>
              </w:rPr>
              <w:lastRenderedPageBreak/>
              <w:t>Entity Categories</w:t>
            </w:r>
            <w:r w:rsidR="00FD1F0B">
              <w:rPr>
                <w:b/>
                <w:bCs/>
                <w:sz w:val="22"/>
                <w:szCs w:val="22"/>
              </w:rPr>
              <w:t xml:space="preserve"> / Building Blocks</w:t>
            </w:r>
          </w:p>
        </w:tc>
        <w:tc>
          <w:tcPr>
            <w:tcW w:w="7245" w:type="dxa"/>
          </w:tcPr>
          <w:p w14:paraId="7EE36212" w14:textId="05638C5B" w:rsidR="00BD2255" w:rsidRPr="001B53B9" w:rsidRDefault="00BD2255" w:rsidP="00B07E9A">
            <w:pPr>
              <w:pStyle w:val="ListParagraph"/>
              <w:numPr>
                <w:ilvl w:val="0"/>
                <w:numId w:val="2"/>
              </w:numPr>
              <w:tabs>
                <w:tab w:val="left" w:pos="376"/>
              </w:tabs>
              <w:autoSpaceDE w:val="0"/>
              <w:autoSpaceDN w:val="0"/>
              <w:adjustRightInd w:val="0"/>
              <w:ind w:left="76"/>
              <w:rPr>
                <w:rFonts w:ascii="Calibri" w:hAnsi="Calibri" w:cs="Calibri"/>
                <w:color w:val="000000"/>
              </w:rPr>
            </w:pPr>
            <w:r w:rsidRPr="001B53B9">
              <w:rPr>
                <w:rFonts w:ascii="Calibri" w:hAnsi="Calibri" w:cs="Calibri"/>
                <w:color w:val="000000"/>
              </w:rPr>
              <w:t>Depository Institution Holding Companies</w:t>
            </w:r>
          </w:p>
          <w:p w14:paraId="2E28F5D3" w14:textId="16556222" w:rsidR="00BD2255" w:rsidRPr="001B53B9" w:rsidRDefault="00BD2255" w:rsidP="00B07E9A">
            <w:pPr>
              <w:pStyle w:val="ListParagraph"/>
              <w:numPr>
                <w:ilvl w:val="0"/>
                <w:numId w:val="2"/>
              </w:numPr>
              <w:tabs>
                <w:tab w:val="left" w:pos="376"/>
              </w:tabs>
              <w:autoSpaceDE w:val="0"/>
              <w:autoSpaceDN w:val="0"/>
              <w:adjustRightInd w:val="0"/>
              <w:ind w:left="76"/>
              <w:rPr>
                <w:rFonts w:ascii="Calibri" w:hAnsi="Calibri" w:cs="Calibri"/>
                <w:color w:val="000000"/>
              </w:rPr>
            </w:pPr>
            <w:r w:rsidRPr="001B53B9">
              <w:rPr>
                <w:rFonts w:ascii="Calibri" w:hAnsi="Calibri" w:cs="Calibri"/>
                <w:color w:val="000000"/>
              </w:rPr>
              <w:t xml:space="preserve">Capital-Regulated Companies (differentiated by whether a scalar is specified </w:t>
            </w:r>
            <w:r w:rsidR="00C63162" w:rsidRPr="001B53B9">
              <w:rPr>
                <w:rFonts w:ascii="Calibri" w:hAnsi="Calibri" w:cs="Calibri"/>
                <w:color w:val="000000"/>
              </w:rPr>
              <w:t>for the capital framework or not</w:t>
            </w:r>
            <w:r w:rsidRPr="001B53B9">
              <w:rPr>
                <w:rFonts w:ascii="Calibri" w:hAnsi="Calibri" w:cs="Calibri"/>
                <w:color w:val="000000"/>
              </w:rPr>
              <w:t>)</w:t>
            </w:r>
          </w:p>
          <w:p w14:paraId="3682A8AE" w14:textId="206D1F93" w:rsidR="00B07E9A" w:rsidRPr="00615BB3" w:rsidRDefault="00BD2255" w:rsidP="00615BB3">
            <w:pPr>
              <w:pStyle w:val="ListParagraph"/>
              <w:numPr>
                <w:ilvl w:val="0"/>
                <w:numId w:val="2"/>
              </w:numPr>
              <w:tabs>
                <w:tab w:val="left" w:pos="376"/>
              </w:tabs>
              <w:autoSpaceDE w:val="0"/>
              <w:autoSpaceDN w:val="0"/>
              <w:adjustRightInd w:val="0"/>
              <w:ind w:left="76"/>
              <w:rPr>
                <w:rFonts w:ascii="Calibri" w:hAnsi="Calibri" w:cs="Calibri"/>
                <w:color w:val="000000"/>
              </w:rPr>
            </w:pPr>
            <w:r w:rsidRPr="001B53B9">
              <w:rPr>
                <w:rFonts w:ascii="Calibri" w:hAnsi="Calibri" w:cs="Calibri"/>
                <w:color w:val="000000"/>
              </w:rPr>
              <w:t>Material Financial Entities</w:t>
            </w:r>
            <w:r w:rsidR="00585771" w:rsidRPr="001B53B9">
              <w:rPr>
                <w:rFonts w:ascii="Calibri" w:hAnsi="Calibri" w:cs="Calibri"/>
                <w:color w:val="000000"/>
              </w:rPr>
              <w:t xml:space="preserve"> (MFE)</w:t>
            </w:r>
          </w:p>
        </w:tc>
        <w:tc>
          <w:tcPr>
            <w:tcW w:w="5985" w:type="dxa"/>
          </w:tcPr>
          <w:p w14:paraId="62F960AD" w14:textId="77777777" w:rsidR="00771543" w:rsidRPr="001B53B9" w:rsidRDefault="00771543" w:rsidP="00771543">
            <w:pPr>
              <w:pStyle w:val="ListParagraph"/>
              <w:numPr>
                <w:ilvl w:val="0"/>
                <w:numId w:val="2"/>
              </w:numPr>
              <w:tabs>
                <w:tab w:val="left" w:pos="376"/>
              </w:tabs>
              <w:autoSpaceDE w:val="0"/>
              <w:autoSpaceDN w:val="0"/>
              <w:adjustRightInd w:val="0"/>
              <w:ind w:left="76"/>
              <w:rPr>
                <w:rFonts w:ascii="Calibri" w:hAnsi="Calibri" w:cs="Calibri"/>
                <w:color w:val="000000"/>
              </w:rPr>
            </w:pPr>
            <w:r w:rsidRPr="001B53B9">
              <w:rPr>
                <w:rFonts w:ascii="Calibri" w:hAnsi="Calibri" w:cs="Calibri"/>
                <w:color w:val="000000"/>
              </w:rPr>
              <w:t xml:space="preserve">Banks </w:t>
            </w:r>
          </w:p>
          <w:p w14:paraId="13FEB3F4" w14:textId="36CB162A" w:rsidR="00771543" w:rsidRPr="001B53B9" w:rsidRDefault="00771543" w:rsidP="00771543">
            <w:pPr>
              <w:pStyle w:val="ListParagraph"/>
              <w:numPr>
                <w:ilvl w:val="0"/>
                <w:numId w:val="2"/>
              </w:numPr>
              <w:tabs>
                <w:tab w:val="left" w:pos="376"/>
              </w:tabs>
              <w:autoSpaceDE w:val="0"/>
              <w:autoSpaceDN w:val="0"/>
              <w:adjustRightInd w:val="0"/>
              <w:ind w:left="76"/>
              <w:rPr>
                <w:rFonts w:ascii="Calibri" w:hAnsi="Calibri" w:cs="Calibri"/>
                <w:color w:val="000000"/>
              </w:rPr>
            </w:pPr>
            <w:r w:rsidRPr="001B53B9">
              <w:rPr>
                <w:rFonts w:ascii="Calibri" w:hAnsi="Calibri" w:cs="Calibri"/>
                <w:color w:val="000000"/>
              </w:rPr>
              <w:t xml:space="preserve">US RBC Filing Life, P/C and Health insurers: </w:t>
            </w:r>
          </w:p>
          <w:p w14:paraId="2D4A48B8" w14:textId="3ACDAFDC" w:rsidR="00771543" w:rsidRPr="001B53B9" w:rsidRDefault="00771543" w:rsidP="00771543">
            <w:pPr>
              <w:pStyle w:val="ListParagraph"/>
              <w:numPr>
                <w:ilvl w:val="0"/>
                <w:numId w:val="2"/>
              </w:numPr>
              <w:tabs>
                <w:tab w:val="left" w:pos="376"/>
              </w:tabs>
              <w:autoSpaceDE w:val="0"/>
              <w:autoSpaceDN w:val="0"/>
              <w:adjustRightInd w:val="0"/>
              <w:ind w:left="76"/>
              <w:rPr>
                <w:rFonts w:ascii="Calibri" w:hAnsi="Calibri" w:cs="Calibri"/>
                <w:color w:val="000000"/>
              </w:rPr>
            </w:pPr>
            <w:r w:rsidRPr="001B53B9">
              <w:rPr>
                <w:rFonts w:ascii="Calibri" w:hAnsi="Calibri" w:cs="Calibri"/>
                <w:color w:val="000000"/>
              </w:rPr>
              <w:t>Non- RBC filing U.S insurers</w:t>
            </w:r>
          </w:p>
          <w:p w14:paraId="15D493B6" w14:textId="5CCB2E13" w:rsidR="00771543" w:rsidRPr="001B53B9" w:rsidRDefault="00771543" w:rsidP="00771543">
            <w:pPr>
              <w:pStyle w:val="ListParagraph"/>
              <w:numPr>
                <w:ilvl w:val="0"/>
                <w:numId w:val="2"/>
              </w:numPr>
              <w:tabs>
                <w:tab w:val="left" w:pos="376"/>
              </w:tabs>
              <w:autoSpaceDE w:val="0"/>
              <w:autoSpaceDN w:val="0"/>
              <w:adjustRightInd w:val="0"/>
              <w:ind w:left="76"/>
              <w:rPr>
                <w:rFonts w:ascii="Calibri" w:hAnsi="Calibri" w:cs="Calibri"/>
                <w:color w:val="000000"/>
              </w:rPr>
            </w:pPr>
            <w:r w:rsidRPr="001B53B9">
              <w:rPr>
                <w:rFonts w:ascii="Calibri" w:hAnsi="Calibri" w:cs="Calibri"/>
                <w:color w:val="000000"/>
              </w:rPr>
              <w:t>Non-US insurers</w:t>
            </w:r>
            <w:r w:rsidR="00B1131A" w:rsidRPr="001B53B9">
              <w:rPr>
                <w:rFonts w:ascii="Calibri" w:hAnsi="Calibri" w:cs="Calibri"/>
                <w:color w:val="000000"/>
              </w:rPr>
              <w:t xml:space="preserve"> – (many jurisdiction subcategories)</w:t>
            </w:r>
          </w:p>
          <w:p w14:paraId="6880819F" w14:textId="26D22644" w:rsidR="00B1131A" w:rsidRPr="001B53B9" w:rsidRDefault="0030089D" w:rsidP="00B1131A">
            <w:pPr>
              <w:pStyle w:val="ListParagraph"/>
              <w:numPr>
                <w:ilvl w:val="0"/>
                <w:numId w:val="2"/>
              </w:numPr>
              <w:tabs>
                <w:tab w:val="left" w:pos="376"/>
              </w:tabs>
              <w:autoSpaceDE w:val="0"/>
              <w:autoSpaceDN w:val="0"/>
              <w:adjustRightInd w:val="0"/>
              <w:ind w:left="346" w:hanging="270"/>
              <w:rPr>
                <w:rFonts w:ascii="Calibri" w:hAnsi="Calibri" w:cs="Calibri"/>
                <w:color w:val="000000"/>
              </w:rPr>
            </w:pPr>
            <w:r w:rsidRPr="001B53B9">
              <w:rPr>
                <w:rFonts w:ascii="Calibri" w:hAnsi="Calibri" w:cs="Calibri"/>
                <w:color w:val="000000"/>
              </w:rPr>
              <w:t>F</w:t>
            </w:r>
            <w:r w:rsidR="00B1131A" w:rsidRPr="001B53B9">
              <w:rPr>
                <w:rFonts w:ascii="Calibri" w:hAnsi="Calibri" w:cs="Calibri"/>
                <w:color w:val="000000"/>
              </w:rPr>
              <w:t xml:space="preserve">inancial entities with Regulatory Capital </w:t>
            </w:r>
          </w:p>
          <w:p w14:paraId="173370EE" w14:textId="6FF4E3DC" w:rsidR="00771543" w:rsidRPr="001B53B9" w:rsidRDefault="0030089D" w:rsidP="00771543">
            <w:pPr>
              <w:pStyle w:val="ListParagraph"/>
              <w:numPr>
                <w:ilvl w:val="0"/>
                <w:numId w:val="2"/>
              </w:numPr>
              <w:tabs>
                <w:tab w:val="left" w:pos="376"/>
              </w:tabs>
              <w:autoSpaceDE w:val="0"/>
              <w:autoSpaceDN w:val="0"/>
              <w:adjustRightInd w:val="0"/>
              <w:ind w:left="346" w:hanging="270"/>
              <w:rPr>
                <w:rFonts w:ascii="Calibri" w:hAnsi="Calibri" w:cs="Calibri"/>
                <w:color w:val="000000"/>
              </w:rPr>
            </w:pPr>
            <w:r w:rsidRPr="001B53B9">
              <w:rPr>
                <w:rFonts w:ascii="Calibri" w:hAnsi="Calibri" w:cs="Calibri"/>
                <w:color w:val="000000"/>
              </w:rPr>
              <w:t>F</w:t>
            </w:r>
            <w:r w:rsidR="001D3F8A" w:rsidRPr="001B53B9">
              <w:rPr>
                <w:rFonts w:ascii="Calibri" w:hAnsi="Calibri" w:cs="Calibri"/>
                <w:color w:val="000000"/>
              </w:rPr>
              <w:t>inancial entities w/o Regulatory Capital</w:t>
            </w:r>
          </w:p>
          <w:p w14:paraId="69CD63BA" w14:textId="6FCD2D8F" w:rsidR="001D3F8A" w:rsidRPr="001B53B9" w:rsidRDefault="0030089D" w:rsidP="00771543">
            <w:pPr>
              <w:pStyle w:val="ListParagraph"/>
              <w:numPr>
                <w:ilvl w:val="0"/>
                <w:numId w:val="2"/>
              </w:numPr>
              <w:tabs>
                <w:tab w:val="left" w:pos="376"/>
              </w:tabs>
              <w:autoSpaceDE w:val="0"/>
              <w:autoSpaceDN w:val="0"/>
              <w:adjustRightInd w:val="0"/>
              <w:ind w:left="346" w:hanging="270"/>
              <w:rPr>
                <w:rFonts w:ascii="Calibri" w:hAnsi="Calibri" w:cs="Calibri"/>
                <w:color w:val="000000"/>
              </w:rPr>
            </w:pPr>
            <w:r w:rsidRPr="001B53B9">
              <w:rPr>
                <w:rFonts w:ascii="Calibri" w:hAnsi="Calibri" w:cs="Calibri"/>
                <w:color w:val="000000"/>
              </w:rPr>
              <w:t>Material</w:t>
            </w:r>
            <w:r w:rsidR="001D3F8A" w:rsidRPr="001B53B9">
              <w:rPr>
                <w:rFonts w:ascii="Calibri" w:hAnsi="Calibri" w:cs="Calibri"/>
                <w:color w:val="000000"/>
              </w:rPr>
              <w:t xml:space="preserve"> non-financial entities </w:t>
            </w:r>
          </w:p>
          <w:p w14:paraId="3CE1F687" w14:textId="77777777" w:rsidR="001D3F8A" w:rsidRPr="001B53B9" w:rsidRDefault="00771543" w:rsidP="00771543">
            <w:pPr>
              <w:pStyle w:val="ListParagraph"/>
              <w:numPr>
                <w:ilvl w:val="0"/>
                <w:numId w:val="2"/>
              </w:numPr>
              <w:tabs>
                <w:tab w:val="left" w:pos="376"/>
              </w:tabs>
              <w:autoSpaceDE w:val="0"/>
              <w:autoSpaceDN w:val="0"/>
              <w:adjustRightInd w:val="0"/>
              <w:ind w:left="76"/>
            </w:pPr>
            <w:r w:rsidRPr="001B53B9">
              <w:t>Non-</w:t>
            </w:r>
            <w:r w:rsidR="001D3F8A" w:rsidRPr="001B53B9">
              <w:t>operating holding companies</w:t>
            </w:r>
          </w:p>
          <w:p w14:paraId="4D8DECA8" w14:textId="3229BF3E" w:rsidR="00671233" w:rsidRDefault="00771543" w:rsidP="0030089D">
            <w:pPr>
              <w:pStyle w:val="ListParagraph"/>
              <w:numPr>
                <w:ilvl w:val="0"/>
                <w:numId w:val="2"/>
              </w:numPr>
              <w:tabs>
                <w:tab w:val="left" w:pos="376"/>
              </w:tabs>
              <w:autoSpaceDE w:val="0"/>
              <w:autoSpaceDN w:val="0"/>
              <w:adjustRightInd w:val="0"/>
              <w:ind w:left="76"/>
            </w:pPr>
            <w:r w:rsidRPr="001B53B9">
              <w:rPr>
                <w:rFonts w:ascii="Calibri" w:hAnsi="Calibri" w:cs="Calibri"/>
                <w:color w:val="000000"/>
              </w:rPr>
              <w:t>Captives</w:t>
            </w:r>
          </w:p>
        </w:tc>
      </w:tr>
      <w:tr w:rsidR="000A766E" w14:paraId="7209EA4D" w14:textId="77777777" w:rsidTr="000A766E">
        <w:tc>
          <w:tcPr>
            <w:tcW w:w="1890" w:type="dxa"/>
          </w:tcPr>
          <w:tbl>
            <w:tblPr>
              <w:tblW w:w="0" w:type="auto"/>
              <w:tblBorders>
                <w:top w:val="nil"/>
                <w:left w:val="nil"/>
                <w:bottom w:val="nil"/>
                <w:right w:val="nil"/>
              </w:tblBorders>
              <w:tblLook w:val="0000" w:firstRow="0" w:lastRow="0" w:firstColumn="0" w:lastColumn="0" w:noHBand="0" w:noVBand="0"/>
            </w:tblPr>
            <w:tblGrid>
              <w:gridCol w:w="1674"/>
            </w:tblGrid>
            <w:tr w:rsidR="00126D28" w:rsidRPr="00671233" w14:paraId="3DA17FD3" w14:textId="77777777">
              <w:trPr>
                <w:trHeight w:val="220"/>
              </w:trPr>
              <w:tc>
                <w:tcPr>
                  <w:tcW w:w="0" w:type="auto"/>
                </w:tcPr>
                <w:p w14:paraId="37471947" w14:textId="4DB3F268" w:rsidR="00126D28" w:rsidRPr="00671233" w:rsidRDefault="00126D28" w:rsidP="00126D28">
                  <w:pPr>
                    <w:pStyle w:val="Default"/>
                    <w:rPr>
                      <w:b/>
                      <w:bCs/>
                      <w:sz w:val="22"/>
                      <w:szCs w:val="22"/>
                    </w:rPr>
                  </w:pPr>
                  <w:r w:rsidRPr="00671233">
                    <w:rPr>
                      <w:b/>
                      <w:bCs/>
                      <w:sz w:val="22"/>
                      <w:szCs w:val="22"/>
                    </w:rPr>
                    <w:t xml:space="preserve">Applicable capital regime </w:t>
                  </w:r>
                </w:p>
              </w:tc>
            </w:tr>
          </w:tbl>
          <w:p w14:paraId="0E301801" w14:textId="77777777" w:rsidR="00126D28" w:rsidRPr="00671233" w:rsidRDefault="00126D28">
            <w:pPr>
              <w:rPr>
                <w:b/>
                <w:bCs/>
              </w:rPr>
            </w:pPr>
          </w:p>
        </w:tc>
        <w:tc>
          <w:tcPr>
            <w:tcW w:w="7245" w:type="dxa"/>
          </w:tcPr>
          <w:tbl>
            <w:tblPr>
              <w:tblW w:w="6645" w:type="dxa"/>
              <w:tblBorders>
                <w:top w:val="nil"/>
                <w:left w:val="nil"/>
                <w:bottom w:val="nil"/>
                <w:right w:val="nil"/>
              </w:tblBorders>
              <w:tblLook w:val="0000" w:firstRow="0" w:lastRow="0" w:firstColumn="0" w:lastColumn="0" w:noHBand="0" w:noVBand="0"/>
            </w:tblPr>
            <w:tblGrid>
              <w:gridCol w:w="6645"/>
            </w:tblGrid>
            <w:tr w:rsidR="00FD1F0B" w:rsidRPr="00FD1F0B" w14:paraId="2578FE6A" w14:textId="77777777" w:rsidTr="006722FE">
              <w:trPr>
                <w:trHeight w:val="1931"/>
              </w:trPr>
              <w:tc>
                <w:tcPr>
                  <w:tcW w:w="6645" w:type="dxa"/>
                </w:tcPr>
                <w:p w14:paraId="27C05128" w14:textId="6EAFCA54" w:rsidR="00FD1F0B" w:rsidRPr="00FD1F0B" w:rsidRDefault="00FD1F0B" w:rsidP="00FD1F0B">
                  <w:pPr>
                    <w:autoSpaceDE w:val="0"/>
                    <w:autoSpaceDN w:val="0"/>
                    <w:adjustRightInd w:val="0"/>
                    <w:spacing w:after="0" w:line="240" w:lineRule="auto"/>
                    <w:rPr>
                      <w:rFonts w:ascii="Calibri" w:hAnsi="Calibri" w:cs="Calibri"/>
                      <w:color w:val="000000"/>
                    </w:rPr>
                  </w:pPr>
                  <w:r w:rsidRPr="00FD1F0B">
                    <w:rPr>
                      <w:rFonts w:ascii="Calibri" w:hAnsi="Calibri" w:cs="Calibri"/>
                      <w:b/>
                      <w:bCs/>
                      <w:color w:val="000000"/>
                    </w:rPr>
                    <w:t xml:space="preserve">Banks: </w:t>
                  </w:r>
                  <w:r w:rsidR="006D0DCF">
                    <w:rPr>
                      <w:rFonts w:ascii="Calibri" w:hAnsi="Calibri" w:cs="Calibri"/>
                      <w:bCs/>
                      <w:color w:val="000000"/>
                    </w:rPr>
                    <w:t>U.S. bank capital rules</w:t>
                  </w:r>
                  <w:r w:rsidRPr="00FD1F0B">
                    <w:rPr>
                      <w:rFonts w:ascii="Calibri" w:hAnsi="Calibri" w:cs="Calibri"/>
                      <w:color w:val="000000"/>
                    </w:rPr>
                    <w:t xml:space="preserve"> </w:t>
                  </w:r>
                </w:p>
                <w:p w14:paraId="17F62A79" w14:textId="79FFA088" w:rsidR="00FD1F0B" w:rsidRPr="00FD1F0B" w:rsidRDefault="00FD1F0B" w:rsidP="00FD1F0B">
                  <w:pPr>
                    <w:autoSpaceDE w:val="0"/>
                    <w:autoSpaceDN w:val="0"/>
                    <w:adjustRightInd w:val="0"/>
                    <w:spacing w:after="0" w:line="240" w:lineRule="auto"/>
                    <w:rPr>
                      <w:rFonts w:ascii="Calibri" w:hAnsi="Calibri" w:cs="Calibri"/>
                      <w:color w:val="000000"/>
                    </w:rPr>
                  </w:pPr>
                  <w:r w:rsidRPr="00FD1F0B">
                    <w:rPr>
                      <w:rFonts w:ascii="Calibri" w:hAnsi="Calibri" w:cs="Calibri"/>
                      <w:b/>
                      <w:bCs/>
                      <w:color w:val="000000"/>
                    </w:rPr>
                    <w:t>US Life &amp; P/C insurers</w:t>
                  </w:r>
                  <w:r w:rsidR="00606F06">
                    <w:rPr>
                      <w:rFonts w:ascii="Calibri" w:hAnsi="Calibri" w:cs="Calibri"/>
                      <w:b/>
                      <w:bCs/>
                      <w:color w:val="000000"/>
                    </w:rPr>
                    <w:t xml:space="preserve"> and Captives</w:t>
                  </w:r>
                  <w:r w:rsidRPr="00FD1F0B">
                    <w:rPr>
                      <w:rFonts w:ascii="Calibri" w:hAnsi="Calibri" w:cs="Calibri"/>
                      <w:b/>
                      <w:bCs/>
                      <w:color w:val="000000"/>
                    </w:rPr>
                    <w:t xml:space="preserve">: </w:t>
                  </w:r>
                  <w:r w:rsidRPr="00FD1F0B">
                    <w:rPr>
                      <w:rFonts w:ascii="Calibri" w:hAnsi="Calibri" w:cs="Calibri"/>
                      <w:color w:val="000000"/>
                    </w:rPr>
                    <w:t>NAIC RB</w:t>
                  </w:r>
                  <w:r w:rsidR="00C44B54">
                    <w:rPr>
                      <w:rFonts w:ascii="Calibri" w:hAnsi="Calibri" w:cs="Calibri"/>
                      <w:color w:val="000000"/>
                    </w:rPr>
                    <w:t>C</w:t>
                  </w:r>
                  <w:r w:rsidRPr="00FD1F0B">
                    <w:rPr>
                      <w:rFonts w:ascii="Calibri" w:hAnsi="Calibri" w:cs="Calibri"/>
                      <w:color w:val="000000"/>
                    </w:rPr>
                    <w:t xml:space="preserve"> </w:t>
                  </w:r>
                </w:p>
                <w:p w14:paraId="6F8AA8B7" w14:textId="450D4458" w:rsidR="00FD1F0B" w:rsidRDefault="00FD1F0B" w:rsidP="00FD1F0B">
                  <w:pPr>
                    <w:autoSpaceDE w:val="0"/>
                    <w:autoSpaceDN w:val="0"/>
                    <w:adjustRightInd w:val="0"/>
                    <w:spacing w:after="0" w:line="240" w:lineRule="auto"/>
                    <w:rPr>
                      <w:rFonts w:ascii="Calibri" w:hAnsi="Calibri" w:cs="Calibri"/>
                      <w:color w:val="000000"/>
                    </w:rPr>
                  </w:pPr>
                  <w:r w:rsidRPr="00FD1F0B">
                    <w:rPr>
                      <w:rFonts w:ascii="Calibri" w:hAnsi="Calibri" w:cs="Calibri"/>
                      <w:b/>
                      <w:bCs/>
                      <w:color w:val="000000"/>
                    </w:rPr>
                    <w:t xml:space="preserve">Non-US insurers </w:t>
                  </w:r>
                  <w:r w:rsidRPr="00FD1F0B">
                    <w:rPr>
                      <w:rFonts w:ascii="Calibri" w:hAnsi="Calibri" w:cs="Calibri"/>
                      <w:color w:val="000000"/>
                    </w:rPr>
                    <w:t>– apply jurisdictional regime</w:t>
                  </w:r>
                  <w:r w:rsidR="00323188">
                    <w:rPr>
                      <w:rFonts w:ascii="Calibri" w:hAnsi="Calibri" w:cs="Calibri"/>
                      <w:color w:val="000000"/>
                    </w:rPr>
                    <w:t xml:space="preserve"> if the operations are material</w:t>
                  </w:r>
                  <w:r w:rsidR="00035294">
                    <w:rPr>
                      <w:rFonts w:ascii="Calibri" w:hAnsi="Calibri" w:cs="Calibri"/>
                      <w:color w:val="000000"/>
                    </w:rPr>
                    <w:t xml:space="preserve"> and the regime is scalar compatible</w:t>
                  </w:r>
                  <w:r w:rsidR="009A7986">
                    <w:rPr>
                      <w:rFonts w:ascii="Calibri" w:hAnsi="Calibri" w:cs="Calibri"/>
                      <w:color w:val="000000"/>
                    </w:rPr>
                    <w:t xml:space="preserve">.  </w:t>
                  </w:r>
                  <w:r w:rsidR="00F53CAF">
                    <w:rPr>
                      <w:rFonts w:ascii="Calibri" w:hAnsi="Calibri" w:cs="Calibri"/>
                      <w:color w:val="000000"/>
                    </w:rPr>
                    <w:t xml:space="preserve">If the framework is not scalar compatible and the operations are material, restate to NAIC SAP and RBC.  </w:t>
                  </w:r>
                  <w:r w:rsidR="009A7986">
                    <w:rPr>
                      <w:rFonts w:ascii="Calibri" w:hAnsi="Calibri" w:cs="Calibri"/>
                      <w:color w:val="000000"/>
                    </w:rPr>
                    <w:t>If the operations are immaterial, then the insurer is not de</w:t>
                  </w:r>
                  <w:r w:rsidR="00891087">
                    <w:rPr>
                      <w:rFonts w:ascii="Calibri" w:hAnsi="Calibri" w:cs="Calibri"/>
                      <w:color w:val="000000"/>
                    </w:rPr>
                    <w:t>-</w:t>
                  </w:r>
                  <w:r w:rsidR="009A7986">
                    <w:rPr>
                      <w:rFonts w:ascii="Calibri" w:hAnsi="Calibri" w:cs="Calibri"/>
                      <w:color w:val="000000"/>
                    </w:rPr>
                    <w:t xml:space="preserve">stacked.  </w:t>
                  </w:r>
                </w:p>
                <w:p w14:paraId="6E2FA856" w14:textId="27F83BA4" w:rsidR="00E34DE2" w:rsidRDefault="00E34DE2" w:rsidP="00FD1F0B">
                  <w:pPr>
                    <w:autoSpaceDE w:val="0"/>
                    <w:autoSpaceDN w:val="0"/>
                    <w:adjustRightInd w:val="0"/>
                    <w:spacing w:after="0" w:line="240" w:lineRule="auto"/>
                    <w:rPr>
                      <w:bCs/>
                    </w:rPr>
                  </w:pPr>
                  <w:r w:rsidRPr="00B07E9A">
                    <w:rPr>
                      <w:b/>
                      <w:bCs/>
                    </w:rPr>
                    <w:t xml:space="preserve">Non-insurance MFEs: </w:t>
                  </w:r>
                  <w:r w:rsidRPr="00F662F7">
                    <w:rPr>
                      <w:bCs/>
                    </w:rPr>
                    <w:t>The Fed’s bank capital rules</w:t>
                  </w:r>
                </w:p>
                <w:p w14:paraId="7914CD34" w14:textId="77777777" w:rsidR="00F53CAF" w:rsidRPr="000A766E" w:rsidRDefault="00F53CAF" w:rsidP="00FD1F0B">
                  <w:pPr>
                    <w:autoSpaceDE w:val="0"/>
                    <w:autoSpaceDN w:val="0"/>
                    <w:adjustRightInd w:val="0"/>
                    <w:spacing w:after="0" w:line="240" w:lineRule="auto"/>
                    <w:rPr>
                      <w:bCs/>
                      <w:sz w:val="16"/>
                      <w:szCs w:val="16"/>
                    </w:rPr>
                  </w:pPr>
                </w:p>
                <w:p w14:paraId="3E1E24DD" w14:textId="79E1AE32" w:rsidR="00FD1F0B" w:rsidRPr="00FD1F0B" w:rsidRDefault="00F31DA0" w:rsidP="00B66367">
                  <w:pPr>
                    <w:autoSpaceDE w:val="0"/>
                    <w:autoSpaceDN w:val="0"/>
                    <w:adjustRightInd w:val="0"/>
                    <w:spacing w:after="0" w:line="240" w:lineRule="auto"/>
                    <w:rPr>
                      <w:sz w:val="20"/>
                      <w:szCs w:val="20"/>
                    </w:rPr>
                  </w:pPr>
                  <w:r w:rsidRPr="0030089D">
                    <w:rPr>
                      <w:rFonts w:ascii="Calibri" w:hAnsi="Calibri" w:cs="Calibri"/>
                      <w:b/>
                      <w:color w:val="000000"/>
                    </w:rPr>
                    <w:t>Asset Manage</w:t>
                  </w:r>
                  <w:r>
                    <w:rPr>
                      <w:rFonts w:ascii="Calibri" w:hAnsi="Calibri" w:cs="Calibri"/>
                      <w:b/>
                      <w:color w:val="000000"/>
                    </w:rPr>
                    <w:t>rs</w:t>
                  </w:r>
                  <w:r>
                    <w:rPr>
                      <w:rFonts w:ascii="Calibri" w:hAnsi="Calibri" w:cs="Calibri"/>
                      <w:color w:val="000000"/>
                    </w:rPr>
                    <w:t xml:space="preserve">: </w:t>
                  </w:r>
                  <w:r w:rsidR="00E34DE2">
                    <w:rPr>
                      <w:rFonts w:ascii="Calibri" w:hAnsi="Calibri" w:cs="Calibri"/>
                      <w:color w:val="000000"/>
                    </w:rPr>
                    <w:t>Due to an exclusion in the MFE rules, asset managers would generally be assessed using the framework of their building block parent</w:t>
                  </w:r>
                  <w:r>
                    <w:rPr>
                      <w:rFonts w:ascii="Calibri" w:hAnsi="Calibri" w:cs="Calibri"/>
                      <w:color w:val="000000"/>
                    </w:rPr>
                    <w:t xml:space="preserve"> (i.e. a book value charge if owned by an insurance company or consolidated </w:t>
                  </w:r>
                  <w:r w:rsidR="00FF3DAA">
                    <w:rPr>
                      <w:rFonts w:ascii="Calibri" w:hAnsi="Calibri" w:cs="Calibri"/>
                      <w:color w:val="000000"/>
                    </w:rPr>
                    <w:t>under BHC rules)</w:t>
                  </w:r>
                  <w:r>
                    <w:rPr>
                      <w:rFonts w:ascii="Calibri" w:hAnsi="Calibri" w:cs="Calibri"/>
                      <w:color w:val="000000"/>
                    </w:rPr>
                    <w:t xml:space="preserve">. </w:t>
                  </w:r>
                </w:p>
              </w:tc>
            </w:tr>
          </w:tbl>
          <w:p w14:paraId="1A4E3B91" w14:textId="77777777" w:rsidR="00E34DE2" w:rsidRDefault="00E34DE2" w:rsidP="0030089D">
            <w:pPr>
              <w:autoSpaceDE w:val="0"/>
              <w:autoSpaceDN w:val="0"/>
              <w:adjustRightInd w:val="0"/>
              <w:ind w:left="76"/>
              <w:rPr>
                <w:b/>
                <w:bCs/>
              </w:rPr>
            </w:pPr>
          </w:p>
          <w:p w14:paraId="7AF8C3BB" w14:textId="54E1B3B4" w:rsidR="007C13CA" w:rsidRPr="00642A02" w:rsidRDefault="007C13CA" w:rsidP="0030089D">
            <w:pPr>
              <w:autoSpaceDE w:val="0"/>
              <w:autoSpaceDN w:val="0"/>
              <w:adjustRightInd w:val="0"/>
              <w:ind w:left="76"/>
            </w:pPr>
            <w:r w:rsidRPr="00FD1F0B">
              <w:rPr>
                <w:rFonts w:ascii="Calibri" w:hAnsi="Calibri" w:cs="Calibri"/>
                <w:b/>
                <w:bCs/>
                <w:color w:val="000000"/>
              </w:rPr>
              <w:t xml:space="preserve">XXX/AXXX </w:t>
            </w:r>
            <w:r w:rsidR="008B170F">
              <w:rPr>
                <w:rFonts w:ascii="Calibri" w:hAnsi="Calibri" w:cs="Calibri"/>
                <w:b/>
                <w:bCs/>
                <w:color w:val="000000"/>
              </w:rPr>
              <w:t xml:space="preserve">Business:  </w:t>
            </w:r>
            <w:r w:rsidRPr="00642A02">
              <w:t xml:space="preserve">Adjust to eliminate the impact of grandfathering and transitional measures that have not been approved by the Board. </w:t>
            </w:r>
          </w:p>
          <w:p w14:paraId="66158673" w14:textId="4953CFA4" w:rsidR="00126D28" w:rsidRDefault="003505DA" w:rsidP="000E4B2C">
            <w:pPr>
              <w:pStyle w:val="Default"/>
              <w:ind w:left="76"/>
            </w:pPr>
            <w:r>
              <w:rPr>
                <w:sz w:val="22"/>
                <w:szCs w:val="22"/>
              </w:rPr>
              <w:t xml:space="preserve">As proposed, </w:t>
            </w:r>
            <w:r w:rsidR="007C13CA" w:rsidRPr="00642A02">
              <w:rPr>
                <w:sz w:val="22"/>
                <w:szCs w:val="22"/>
              </w:rPr>
              <w:t xml:space="preserve">insurers would need to apply PBR retroactively to XXX/AXXX reserves.  </w:t>
            </w:r>
          </w:p>
        </w:tc>
        <w:tc>
          <w:tcPr>
            <w:tcW w:w="5985" w:type="dxa"/>
          </w:tcPr>
          <w:p w14:paraId="1B47D626" w14:textId="77777777" w:rsidR="00897BE1" w:rsidRPr="00C44B54" w:rsidRDefault="00897BE1" w:rsidP="00897BE1">
            <w:pPr>
              <w:rPr>
                <w:b/>
                <w:bCs/>
              </w:rPr>
            </w:pPr>
            <w:r w:rsidRPr="00C44B54">
              <w:rPr>
                <w:b/>
                <w:bCs/>
              </w:rPr>
              <w:t>Same</w:t>
            </w:r>
          </w:p>
          <w:p w14:paraId="3CBC102F" w14:textId="55A78950" w:rsidR="000E72E3" w:rsidRDefault="00897BE1" w:rsidP="000E72E3">
            <w:pPr>
              <w:rPr>
                <w:b/>
                <w:bCs/>
              </w:rPr>
            </w:pPr>
            <w:r w:rsidRPr="00C44B54">
              <w:rPr>
                <w:b/>
                <w:bCs/>
              </w:rPr>
              <w:t xml:space="preserve">Same </w:t>
            </w:r>
            <w:r w:rsidR="000E72E3">
              <w:rPr>
                <w:b/>
                <w:bCs/>
              </w:rPr>
              <w:t>(also a</w:t>
            </w:r>
            <w:r w:rsidR="000E72E3" w:rsidRPr="00C44B54">
              <w:rPr>
                <w:b/>
                <w:bCs/>
              </w:rPr>
              <w:t>pply appropriate RBC formula</w:t>
            </w:r>
            <w:r w:rsidR="000E72E3">
              <w:rPr>
                <w:b/>
                <w:bCs/>
              </w:rPr>
              <w:t xml:space="preserve"> to all Captives)</w:t>
            </w:r>
          </w:p>
          <w:p w14:paraId="1C447AFA" w14:textId="77777777" w:rsidR="00897BE1" w:rsidRPr="00C44B54" w:rsidRDefault="00897BE1" w:rsidP="00897BE1">
            <w:pPr>
              <w:rPr>
                <w:b/>
                <w:bCs/>
              </w:rPr>
            </w:pPr>
            <w:r w:rsidRPr="00C44B54">
              <w:rPr>
                <w:b/>
                <w:bCs/>
              </w:rPr>
              <w:t>Same principle but different scaling methodology (see below).</w:t>
            </w:r>
          </w:p>
          <w:p w14:paraId="0A2E93C1" w14:textId="77777777" w:rsidR="00897BE1" w:rsidRDefault="00897BE1" w:rsidP="00897BE1">
            <w:pPr>
              <w:rPr>
                <w:b/>
                <w:bCs/>
              </w:rPr>
            </w:pPr>
          </w:p>
          <w:p w14:paraId="7787423F" w14:textId="77777777" w:rsidR="00A53A3C" w:rsidRDefault="00A53A3C" w:rsidP="00897BE1">
            <w:pPr>
              <w:rPr>
                <w:b/>
                <w:bCs/>
              </w:rPr>
            </w:pPr>
          </w:p>
          <w:p w14:paraId="3999A6B9" w14:textId="77777777" w:rsidR="00A53A3C" w:rsidRDefault="00A53A3C" w:rsidP="00897BE1">
            <w:pPr>
              <w:rPr>
                <w:b/>
                <w:bCs/>
              </w:rPr>
            </w:pPr>
          </w:p>
          <w:p w14:paraId="1D2433C4" w14:textId="77777777" w:rsidR="00B66367" w:rsidRDefault="00B66367" w:rsidP="00897BE1">
            <w:pPr>
              <w:rPr>
                <w:b/>
                <w:bCs/>
              </w:rPr>
            </w:pPr>
          </w:p>
          <w:p w14:paraId="02D4EF44" w14:textId="7B2D8A6B" w:rsidR="00A53A3C" w:rsidRDefault="00A53A3C" w:rsidP="00897BE1">
            <w:pPr>
              <w:rPr>
                <w:b/>
                <w:bCs/>
              </w:rPr>
            </w:pPr>
            <w:r>
              <w:rPr>
                <w:b/>
                <w:bCs/>
              </w:rPr>
              <w:t xml:space="preserve">Basel Op Risk </w:t>
            </w:r>
            <w:r w:rsidRPr="00C44B54">
              <w:rPr>
                <w:b/>
                <w:bCs/>
              </w:rPr>
              <w:t xml:space="preserve">Factor x </w:t>
            </w:r>
            <w:r>
              <w:rPr>
                <w:b/>
                <w:bCs/>
              </w:rPr>
              <w:t>3yr average r</w:t>
            </w:r>
            <w:r w:rsidRPr="00C44B54">
              <w:rPr>
                <w:b/>
                <w:bCs/>
              </w:rPr>
              <w:t>evenue</w:t>
            </w:r>
            <w:r>
              <w:rPr>
                <w:b/>
                <w:bCs/>
              </w:rPr>
              <w:t>.</w:t>
            </w:r>
          </w:p>
          <w:p w14:paraId="1818834B" w14:textId="77777777" w:rsidR="00A53A3C" w:rsidRDefault="00A53A3C" w:rsidP="00897BE1">
            <w:pPr>
              <w:rPr>
                <w:b/>
                <w:bCs/>
              </w:rPr>
            </w:pPr>
          </w:p>
          <w:p w14:paraId="37E6F8CE" w14:textId="3DEBBF59" w:rsidR="00897BE1" w:rsidRPr="00C44B54" w:rsidRDefault="00A53A3C" w:rsidP="00897BE1">
            <w:pPr>
              <w:rPr>
                <w:b/>
                <w:bCs/>
              </w:rPr>
            </w:pPr>
            <w:r>
              <w:rPr>
                <w:b/>
                <w:bCs/>
              </w:rPr>
              <w:t>B</w:t>
            </w:r>
            <w:r w:rsidR="00897BE1">
              <w:rPr>
                <w:b/>
                <w:bCs/>
              </w:rPr>
              <w:t xml:space="preserve">asel Op Risk </w:t>
            </w:r>
            <w:r w:rsidR="00897BE1" w:rsidRPr="00C44B54">
              <w:rPr>
                <w:b/>
                <w:bCs/>
              </w:rPr>
              <w:t>Factor x</w:t>
            </w:r>
            <w:r w:rsidR="00897BE1">
              <w:rPr>
                <w:b/>
                <w:bCs/>
              </w:rPr>
              <w:t xml:space="preserve"> 3yr average </w:t>
            </w:r>
            <w:r w:rsidR="00897BE1" w:rsidRPr="00C44B54">
              <w:rPr>
                <w:b/>
                <w:bCs/>
              </w:rPr>
              <w:t>revenue</w:t>
            </w:r>
            <w:r w:rsidR="00897BE1">
              <w:rPr>
                <w:b/>
                <w:bCs/>
              </w:rPr>
              <w:t xml:space="preserve"> (includes investment advisors)</w:t>
            </w:r>
            <w:r w:rsidR="00897BE1" w:rsidRPr="00C44B54">
              <w:rPr>
                <w:b/>
                <w:bCs/>
              </w:rPr>
              <w:t>.</w:t>
            </w:r>
          </w:p>
          <w:p w14:paraId="0F35DC04" w14:textId="77777777" w:rsidR="00897BE1" w:rsidRDefault="00897BE1" w:rsidP="00897BE1">
            <w:pPr>
              <w:rPr>
                <w:b/>
                <w:bCs/>
              </w:rPr>
            </w:pPr>
          </w:p>
          <w:p w14:paraId="422806F1" w14:textId="7C460FBB" w:rsidR="00897BE1" w:rsidRDefault="00897BE1" w:rsidP="00897BE1">
            <w:pPr>
              <w:rPr>
                <w:b/>
                <w:bCs/>
              </w:rPr>
            </w:pPr>
          </w:p>
          <w:p w14:paraId="651F40FA" w14:textId="77777777" w:rsidR="00B66367" w:rsidRDefault="00B66367" w:rsidP="00897BE1">
            <w:pPr>
              <w:rPr>
                <w:b/>
                <w:bCs/>
              </w:rPr>
            </w:pPr>
          </w:p>
          <w:p w14:paraId="32B4A4D9" w14:textId="10E2BAA7" w:rsidR="00A53A3C" w:rsidRDefault="00A53A3C" w:rsidP="00897BE1">
            <w:pPr>
              <w:rPr>
                <w:b/>
                <w:bCs/>
              </w:rPr>
            </w:pPr>
            <w:r>
              <w:rPr>
                <w:b/>
                <w:bCs/>
              </w:rPr>
              <w:t>No adjustments to XXX /AXXX assets or reserves</w:t>
            </w:r>
          </w:p>
          <w:p w14:paraId="43665AA4" w14:textId="77777777" w:rsidR="00897BE1" w:rsidRDefault="00897BE1" w:rsidP="00897BE1"/>
          <w:p w14:paraId="48B019CC" w14:textId="77777777" w:rsidR="00897BE1" w:rsidRDefault="00897BE1" w:rsidP="00897BE1">
            <w:pPr>
              <w:rPr>
                <w:b/>
                <w:bCs/>
              </w:rPr>
            </w:pPr>
          </w:p>
          <w:p w14:paraId="62D3CA6F" w14:textId="174BA2CC" w:rsidR="00A53A3C" w:rsidRPr="005D6EBC" w:rsidRDefault="00A53A3C" w:rsidP="00A53A3C">
            <w:pPr>
              <w:rPr>
                <w:b/>
                <w:bCs/>
              </w:rPr>
            </w:pPr>
            <w:r w:rsidRPr="005D6EBC">
              <w:rPr>
                <w:b/>
                <w:bCs/>
              </w:rPr>
              <w:t>Apply equity charge to non-financial entities (7% or tailored to industry average)</w:t>
            </w:r>
          </w:p>
        </w:tc>
      </w:tr>
      <w:tr w:rsidR="000A766E" w14:paraId="523398EE" w14:textId="77777777" w:rsidTr="000A766E">
        <w:tc>
          <w:tcPr>
            <w:tcW w:w="1890" w:type="dxa"/>
          </w:tcPr>
          <w:p w14:paraId="2CCD4543" w14:textId="4FEC2500" w:rsidR="00615332" w:rsidRPr="00671233" w:rsidRDefault="00615332" w:rsidP="00126D28">
            <w:pPr>
              <w:pStyle w:val="Default"/>
              <w:rPr>
                <w:b/>
                <w:bCs/>
                <w:sz w:val="22"/>
                <w:szCs w:val="22"/>
              </w:rPr>
            </w:pPr>
            <w:r>
              <w:rPr>
                <w:b/>
                <w:bCs/>
                <w:sz w:val="22"/>
                <w:szCs w:val="22"/>
              </w:rPr>
              <w:lastRenderedPageBreak/>
              <w:t>Base Capital Level</w:t>
            </w:r>
            <w:r w:rsidR="00BB42A1">
              <w:rPr>
                <w:b/>
                <w:bCs/>
                <w:sz w:val="22"/>
                <w:szCs w:val="22"/>
              </w:rPr>
              <w:t xml:space="preserve"> &amp; Qualifying Capital</w:t>
            </w:r>
          </w:p>
        </w:tc>
        <w:tc>
          <w:tcPr>
            <w:tcW w:w="7245" w:type="dxa"/>
          </w:tcPr>
          <w:p w14:paraId="565A6731" w14:textId="4E859710" w:rsidR="00D036B5" w:rsidRPr="000E4B2C" w:rsidRDefault="00D50C01" w:rsidP="00911034">
            <w:pPr>
              <w:pStyle w:val="Default"/>
              <w:numPr>
                <w:ilvl w:val="1"/>
                <w:numId w:val="3"/>
              </w:numPr>
              <w:rPr>
                <w:sz w:val="22"/>
                <w:szCs w:val="22"/>
              </w:rPr>
            </w:pPr>
            <w:r w:rsidRPr="00911034">
              <w:rPr>
                <w:b/>
                <w:sz w:val="22"/>
                <w:szCs w:val="22"/>
              </w:rPr>
              <w:t>ACL RBC</w:t>
            </w:r>
            <w:r w:rsidRPr="000E4B2C">
              <w:rPr>
                <w:sz w:val="22"/>
                <w:szCs w:val="22"/>
              </w:rPr>
              <w:t xml:space="preserve"> is used as the base for the BBA</w:t>
            </w:r>
            <w:r>
              <w:rPr>
                <w:sz w:val="22"/>
                <w:szCs w:val="22"/>
              </w:rPr>
              <w:t>’s rollup</w:t>
            </w:r>
            <w:r w:rsidR="009D5B35">
              <w:rPr>
                <w:sz w:val="22"/>
                <w:szCs w:val="22"/>
              </w:rPr>
              <w:t xml:space="preserve"> of U.S. Life and P/C insurers</w:t>
            </w:r>
            <w:r w:rsidRPr="000E4B2C">
              <w:rPr>
                <w:sz w:val="22"/>
                <w:szCs w:val="22"/>
              </w:rPr>
              <w:t xml:space="preserve"> and referred to as the common capital framew</w:t>
            </w:r>
            <w:r w:rsidRPr="00D50C01">
              <w:rPr>
                <w:sz w:val="22"/>
                <w:szCs w:val="22"/>
              </w:rPr>
              <w:t xml:space="preserve">ork.  The BBA specifies as </w:t>
            </w:r>
            <w:r w:rsidR="00615332" w:rsidRPr="00D50C01">
              <w:rPr>
                <w:sz w:val="22"/>
                <w:szCs w:val="22"/>
              </w:rPr>
              <w:t>250% ACL RBC</w:t>
            </w:r>
            <w:r w:rsidR="00D036B5" w:rsidRPr="00D50C01">
              <w:rPr>
                <w:sz w:val="22"/>
                <w:szCs w:val="22"/>
              </w:rPr>
              <w:t xml:space="preserve"> minimum requirement</w:t>
            </w:r>
            <w:r>
              <w:rPr>
                <w:sz w:val="22"/>
                <w:szCs w:val="22"/>
              </w:rPr>
              <w:t>.</w:t>
            </w:r>
          </w:p>
          <w:p w14:paraId="2628BCD1" w14:textId="77777777" w:rsidR="00D50C01" w:rsidRDefault="00D50C01" w:rsidP="00911034">
            <w:pPr>
              <w:pStyle w:val="Default"/>
              <w:numPr>
                <w:ilvl w:val="1"/>
                <w:numId w:val="3"/>
              </w:numPr>
              <w:rPr>
                <w:sz w:val="22"/>
                <w:szCs w:val="22"/>
              </w:rPr>
            </w:pPr>
          </w:p>
          <w:p w14:paraId="59E6F747" w14:textId="49F800C9" w:rsidR="00BB42A1" w:rsidRPr="00BB42A1" w:rsidRDefault="00615332" w:rsidP="00911034">
            <w:pPr>
              <w:pStyle w:val="Default"/>
              <w:rPr>
                <w:b/>
                <w:bCs/>
                <w:sz w:val="22"/>
                <w:szCs w:val="22"/>
              </w:rPr>
            </w:pPr>
            <w:r w:rsidRPr="001B53B9">
              <w:rPr>
                <w:bCs/>
              </w:rPr>
              <w:t>Tier 2 capital instruments, including non-grandfathered SN, cannot exceed more than 62.5%</w:t>
            </w:r>
            <w:r w:rsidRPr="000E4B2C">
              <w:rPr>
                <w:sz w:val="22"/>
                <w:szCs w:val="22"/>
              </w:rPr>
              <w:t xml:space="preserve"> of the </w:t>
            </w:r>
            <w:r w:rsidR="00844D29">
              <w:rPr>
                <w:sz w:val="22"/>
                <w:szCs w:val="22"/>
              </w:rPr>
              <w:t xml:space="preserve">BBA’s denominator (ACL RBC).  </w:t>
            </w:r>
            <w:r w:rsidR="00844D29" w:rsidRPr="00911034">
              <w:rPr>
                <w:iCs/>
              </w:rPr>
              <w:t>A</w:t>
            </w:r>
            <w:r w:rsidRPr="00911034">
              <w:rPr>
                <w:iCs/>
              </w:rPr>
              <w:t>t least 187.5% of the 250% min CR must be composed of common equity tier 1 capital</w:t>
            </w:r>
            <w:r w:rsidR="00306047">
              <w:rPr>
                <w:iCs/>
                <w:sz w:val="22"/>
                <w:szCs w:val="22"/>
              </w:rPr>
              <w:t xml:space="preserve"> such as unassigned surplus\</w:t>
            </w:r>
            <w:r w:rsidRPr="00911034">
              <w:rPr>
                <w:iCs/>
              </w:rPr>
              <w:t>retained earnings</w:t>
            </w:r>
            <w:r w:rsidR="00306047">
              <w:rPr>
                <w:iCs/>
                <w:sz w:val="22"/>
                <w:szCs w:val="22"/>
              </w:rPr>
              <w:t xml:space="preserve">.  </w:t>
            </w:r>
            <w:r w:rsidR="00BB42A1" w:rsidRPr="00BB42A1">
              <w:rPr>
                <w:sz w:val="22"/>
                <w:szCs w:val="22"/>
              </w:rPr>
              <w:t xml:space="preserve">Grandfathered surplus notes are not subject to </w:t>
            </w:r>
            <w:r w:rsidR="00D036B5">
              <w:rPr>
                <w:sz w:val="22"/>
                <w:szCs w:val="22"/>
              </w:rPr>
              <w:t xml:space="preserve">the 62.5% tier 2 </w:t>
            </w:r>
            <w:r w:rsidR="00BB42A1" w:rsidRPr="00BB42A1">
              <w:rPr>
                <w:sz w:val="22"/>
                <w:szCs w:val="22"/>
              </w:rPr>
              <w:t>limit.</w:t>
            </w:r>
          </w:p>
        </w:tc>
        <w:tc>
          <w:tcPr>
            <w:tcW w:w="5985" w:type="dxa"/>
          </w:tcPr>
          <w:p w14:paraId="7A394C43" w14:textId="5332E9BD" w:rsidR="00897BE1" w:rsidRDefault="00897BE1" w:rsidP="00897BE1">
            <w:pPr>
              <w:rPr>
                <w:b/>
                <w:bCs/>
              </w:rPr>
            </w:pPr>
            <w:r w:rsidRPr="00C44B54">
              <w:rPr>
                <w:b/>
                <w:bCs/>
              </w:rPr>
              <w:t>300%</w:t>
            </w:r>
            <w:r>
              <w:rPr>
                <w:b/>
                <w:bCs/>
              </w:rPr>
              <w:t xml:space="preserve"> x ACL RBC</w:t>
            </w:r>
            <w:r w:rsidRPr="00C44B54">
              <w:rPr>
                <w:b/>
                <w:bCs/>
              </w:rPr>
              <w:t xml:space="preserve"> </w:t>
            </w:r>
            <w:r w:rsidRPr="009D5B35">
              <w:t>(Trend Test Level)</w:t>
            </w:r>
            <w:r w:rsidR="009D5B35" w:rsidRPr="009D5B35">
              <w:t xml:space="preserve"> is used for U.S. RBC filers</w:t>
            </w:r>
            <w:r w:rsidRPr="009D5B35">
              <w:t>.</w:t>
            </w:r>
          </w:p>
          <w:p w14:paraId="66C18A40" w14:textId="77777777" w:rsidR="009D5B35" w:rsidRDefault="009D5B35" w:rsidP="00897BE1"/>
          <w:p w14:paraId="56CCEBF7" w14:textId="0144050C" w:rsidR="00897BE1" w:rsidRDefault="00897BE1" w:rsidP="00897BE1">
            <w:r>
              <w:t>All surplus notes count as available capital subject to double counting adjustment for intragroup surplus notes.</w:t>
            </w:r>
            <w:r w:rsidR="000A766E">
              <w:t xml:space="preserve"> </w:t>
            </w:r>
            <w:r>
              <w:t xml:space="preserve">No more than 50% of available capital without counting capital </w:t>
            </w:r>
            <w:r w:rsidR="000A766E">
              <w:t>i</w:t>
            </w:r>
            <w:r>
              <w:t>nstruments is allowed as additional capital for qualifying capital instruments.</w:t>
            </w:r>
          </w:p>
          <w:p w14:paraId="0E8547E4" w14:textId="77777777" w:rsidR="00897BE1" w:rsidRDefault="00897BE1" w:rsidP="00897BE1"/>
          <w:p w14:paraId="0CA933C4" w14:textId="2A23A230" w:rsidR="00BB42A1" w:rsidRDefault="00897BE1" w:rsidP="00897BE1">
            <w:r>
              <w:t>No tiering of capital</w:t>
            </w:r>
          </w:p>
        </w:tc>
      </w:tr>
      <w:tr w:rsidR="000A766E" w14:paraId="6CEA1009" w14:textId="77777777" w:rsidTr="000A766E">
        <w:tc>
          <w:tcPr>
            <w:tcW w:w="1890" w:type="dxa"/>
          </w:tcPr>
          <w:p w14:paraId="57594AAD" w14:textId="3B486C2A" w:rsidR="00897BE1" w:rsidRPr="00671233" w:rsidRDefault="00897BE1" w:rsidP="00897BE1">
            <w:pPr>
              <w:pStyle w:val="Default"/>
              <w:rPr>
                <w:b/>
                <w:bCs/>
                <w:sz w:val="22"/>
                <w:szCs w:val="22"/>
              </w:rPr>
            </w:pPr>
            <w:r w:rsidRPr="00671233">
              <w:rPr>
                <w:b/>
                <w:bCs/>
                <w:sz w:val="22"/>
                <w:szCs w:val="22"/>
              </w:rPr>
              <w:t>Capital Buffer</w:t>
            </w:r>
            <w:r>
              <w:rPr>
                <w:b/>
                <w:bCs/>
                <w:sz w:val="22"/>
                <w:szCs w:val="22"/>
              </w:rPr>
              <w:t xml:space="preserve"> &amp; Qualifying Capital</w:t>
            </w:r>
          </w:p>
        </w:tc>
        <w:tc>
          <w:tcPr>
            <w:tcW w:w="7245" w:type="dxa"/>
          </w:tcPr>
          <w:p w14:paraId="01276A0E" w14:textId="5CEAD0A8" w:rsidR="00826154" w:rsidRDefault="00897BE1" w:rsidP="00911034">
            <w:pPr>
              <w:pStyle w:val="Default"/>
              <w:tabs>
                <w:tab w:val="left" w:pos="346"/>
              </w:tabs>
            </w:pPr>
            <w:r w:rsidRPr="00911034">
              <w:rPr>
                <w:b/>
              </w:rPr>
              <w:t xml:space="preserve">235% “capital conservation buffer” applied on top of the 250% min </w:t>
            </w:r>
            <w:r w:rsidR="00306047" w:rsidRPr="00911034">
              <w:rPr>
                <w:b/>
              </w:rPr>
              <w:t>requirement</w:t>
            </w:r>
            <w:r w:rsidR="0019713B" w:rsidRPr="00911034">
              <w:rPr>
                <w:b/>
              </w:rPr>
              <w:t xml:space="preserve"> (485% total)</w:t>
            </w:r>
            <w:r w:rsidR="0019713B">
              <w:rPr>
                <w:sz w:val="22"/>
                <w:szCs w:val="22"/>
              </w:rPr>
              <w:t xml:space="preserve">. </w:t>
            </w:r>
          </w:p>
          <w:p w14:paraId="668D9758" w14:textId="457BEC15" w:rsidR="00826154" w:rsidRPr="00615332" w:rsidRDefault="00897BE1" w:rsidP="00911034">
            <w:pPr>
              <w:pStyle w:val="Default"/>
              <w:numPr>
                <w:ilvl w:val="0"/>
                <w:numId w:val="4"/>
              </w:numPr>
              <w:tabs>
                <w:tab w:val="left" w:pos="346"/>
                <w:tab w:val="left" w:pos="391"/>
              </w:tabs>
              <w:rPr>
                <w:sz w:val="22"/>
                <w:szCs w:val="22"/>
              </w:rPr>
            </w:pPr>
            <w:r w:rsidRPr="00615332">
              <w:rPr>
                <w:sz w:val="22"/>
                <w:szCs w:val="22"/>
              </w:rPr>
              <w:t xml:space="preserve">Capital composition limits apply – 235% ACL RBC must be composed of tier 1 available capital (e.g., equity, retained surplus). Cannot count tier 2 instruments towards meeting the 235% threshold. </w:t>
            </w:r>
          </w:p>
          <w:p w14:paraId="1792B74E" w14:textId="475EE8EE" w:rsidR="00897BE1" w:rsidRPr="00FD1F0B" w:rsidRDefault="0045532F" w:rsidP="00911034">
            <w:pPr>
              <w:pStyle w:val="Default"/>
              <w:numPr>
                <w:ilvl w:val="0"/>
                <w:numId w:val="4"/>
              </w:numPr>
              <w:tabs>
                <w:tab w:val="left" w:pos="346"/>
                <w:tab w:val="left" w:pos="391"/>
              </w:tabs>
              <w:rPr>
                <w:b/>
                <w:bCs/>
              </w:rPr>
            </w:pPr>
            <w:r>
              <w:rPr>
                <w:sz w:val="22"/>
                <w:szCs w:val="22"/>
              </w:rPr>
              <w:t xml:space="preserve">A </w:t>
            </w:r>
            <w:r w:rsidR="000E4B2C">
              <w:rPr>
                <w:sz w:val="22"/>
                <w:szCs w:val="22"/>
              </w:rPr>
              <w:t>t</w:t>
            </w:r>
            <w:r>
              <w:rPr>
                <w:sz w:val="22"/>
                <w:szCs w:val="22"/>
              </w:rPr>
              <w:t>o</w:t>
            </w:r>
            <w:r w:rsidR="000E4B2C">
              <w:rPr>
                <w:sz w:val="22"/>
                <w:szCs w:val="22"/>
              </w:rPr>
              <w:t>p-tier DI hold c</w:t>
            </w:r>
            <w:r>
              <w:rPr>
                <w:sz w:val="22"/>
                <w:szCs w:val="22"/>
              </w:rPr>
              <w:t xml:space="preserve">o that does not meet the buffer requirement would </w:t>
            </w:r>
            <w:r w:rsidR="000E4B2C">
              <w:rPr>
                <w:sz w:val="22"/>
                <w:szCs w:val="22"/>
              </w:rPr>
              <w:t>face limits on capital distributions such as dividend payments.  These limits would become more stringent as the insurer approached the 250% minimum.</w:t>
            </w:r>
            <w:r w:rsidR="00897BE1" w:rsidRPr="00911034">
              <w:rPr>
                <w:sz w:val="22"/>
                <w:szCs w:val="22"/>
              </w:rPr>
              <w:t xml:space="preserve"> </w:t>
            </w:r>
          </w:p>
        </w:tc>
        <w:tc>
          <w:tcPr>
            <w:tcW w:w="5985" w:type="dxa"/>
          </w:tcPr>
          <w:p w14:paraId="728ED764" w14:textId="61668F77" w:rsidR="00897BE1" w:rsidRPr="00B32ACC" w:rsidRDefault="00897BE1" w:rsidP="00897BE1">
            <w:pPr>
              <w:rPr>
                <w:b/>
                <w:bCs/>
              </w:rPr>
            </w:pPr>
            <w:r w:rsidRPr="00B32ACC">
              <w:rPr>
                <w:b/>
                <w:bCs/>
              </w:rPr>
              <w:t>No</w:t>
            </w:r>
            <w:r>
              <w:rPr>
                <w:b/>
                <w:bCs/>
              </w:rPr>
              <w:t>t Applicable</w:t>
            </w:r>
          </w:p>
        </w:tc>
      </w:tr>
      <w:tr w:rsidR="000A766E" w14:paraId="2ECDEA43" w14:textId="77777777" w:rsidTr="000A766E">
        <w:tc>
          <w:tcPr>
            <w:tcW w:w="1890" w:type="dxa"/>
          </w:tcPr>
          <w:p w14:paraId="016E6DFC" w14:textId="1BBE421A" w:rsidR="00897BE1" w:rsidRPr="00671233" w:rsidRDefault="00897BE1">
            <w:pPr>
              <w:pStyle w:val="Default"/>
              <w:rPr>
                <w:b/>
                <w:bCs/>
                <w:sz w:val="22"/>
                <w:szCs w:val="22"/>
              </w:rPr>
            </w:pPr>
            <w:r w:rsidRPr="00671233">
              <w:rPr>
                <w:b/>
                <w:bCs/>
                <w:sz w:val="22"/>
                <w:szCs w:val="22"/>
              </w:rPr>
              <w:t xml:space="preserve">Domestic scalars  </w:t>
            </w:r>
          </w:p>
        </w:tc>
        <w:tc>
          <w:tcPr>
            <w:tcW w:w="7245" w:type="dxa"/>
          </w:tcPr>
          <w:p w14:paraId="75A7A03B" w14:textId="26255E74" w:rsidR="00897BE1" w:rsidRPr="00B07E9A" w:rsidRDefault="009D5B35" w:rsidP="00897BE1">
            <w:pPr>
              <w:pStyle w:val="Default"/>
              <w:rPr>
                <w:sz w:val="22"/>
                <w:szCs w:val="22"/>
              </w:rPr>
            </w:pPr>
            <w:r>
              <w:rPr>
                <w:b/>
                <w:bCs/>
                <w:sz w:val="22"/>
                <w:szCs w:val="22"/>
              </w:rPr>
              <w:t xml:space="preserve">Scales </w:t>
            </w:r>
            <w:r w:rsidRPr="00671233">
              <w:rPr>
                <w:b/>
                <w:bCs/>
                <w:sz w:val="22"/>
                <w:szCs w:val="22"/>
              </w:rPr>
              <w:t>US B</w:t>
            </w:r>
            <w:r>
              <w:rPr>
                <w:b/>
                <w:bCs/>
                <w:sz w:val="22"/>
                <w:szCs w:val="22"/>
              </w:rPr>
              <w:t>ank Capital Rules</w:t>
            </w:r>
            <w:r w:rsidRPr="00671233">
              <w:rPr>
                <w:b/>
                <w:bCs/>
                <w:sz w:val="22"/>
                <w:szCs w:val="22"/>
              </w:rPr>
              <w:t xml:space="preserve"> to RBC</w:t>
            </w:r>
            <w:r>
              <w:rPr>
                <w:b/>
                <w:bCs/>
                <w:sz w:val="22"/>
                <w:szCs w:val="22"/>
              </w:rPr>
              <w:t>:</w:t>
            </w:r>
            <w:r w:rsidRPr="00B07E9A">
              <w:rPr>
                <w:sz w:val="22"/>
                <w:szCs w:val="22"/>
              </w:rPr>
              <w:t xml:space="preserve"> </w:t>
            </w:r>
            <w:r w:rsidR="00897BE1" w:rsidRPr="00B07E9A">
              <w:rPr>
                <w:sz w:val="22"/>
                <w:szCs w:val="22"/>
              </w:rPr>
              <w:t xml:space="preserve">Uses </w:t>
            </w:r>
            <w:r w:rsidR="000B0C86">
              <w:rPr>
                <w:sz w:val="22"/>
                <w:szCs w:val="22"/>
              </w:rPr>
              <w:t xml:space="preserve">available and required capital scalars based on </w:t>
            </w:r>
            <w:r w:rsidR="00897BE1" w:rsidRPr="00B07E9A">
              <w:rPr>
                <w:sz w:val="22"/>
                <w:szCs w:val="22"/>
              </w:rPr>
              <w:t>historical probabilit</w:t>
            </w:r>
            <w:r w:rsidR="000B0C86">
              <w:rPr>
                <w:sz w:val="22"/>
                <w:szCs w:val="22"/>
              </w:rPr>
              <w:t>y</w:t>
            </w:r>
            <w:r w:rsidR="00897BE1" w:rsidRPr="00B07E9A">
              <w:rPr>
                <w:sz w:val="22"/>
                <w:szCs w:val="22"/>
              </w:rPr>
              <w:t xml:space="preserve"> of default</w:t>
            </w:r>
            <w:r w:rsidR="000B0C86">
              <w:rPr>
                <w:sz w:val="22"/>
                <w:szCs w:val="22"/>
              </w:rPr>
              <w:t xml:space="preserve"> analysis.  The same scalars are applied to L&amp;H and P&amp;C RBC</w:t>
            </w:r>
            <w:r w:rsidR="00897BE1" w:rsidRPr="00B07E9A">
              <w:rPr>
                <w:sz w:val="22"/>
                <w:szCs w:val="22"/>
              </w:rPr>
              <w:t xml:space="preserve">. </w:t>
            </w:r>
          </w:p>
          <w:p w14:paraId="281E393E" w14:textId="77777777" w:rsidR="00897BE1" w:rsidRPr="000A766E" w:rsidRDefault="00897BE1" w:rsidP="00897BE1">
            <w:pPr>
              <w:pStyle w:val="Default"/>
              <w:rPr>
                <w:sz w:val="16"/>
                <w:szCs w:val="16"/>
              </w:rPr>
            </w:pPr>
          </w:p>
          <w:p w14:paraId="3ABAFEFB" w14:textId="6B5B4977" w:rsidR="00897BE1" w:rsidRPr="00B07E9A" w:rsidRDefault="00897BE1" w:rsidP="00897BE1">
            <w:pPr>
              <w:pStyle w:val="Default"/>
              <w:rPr>
                <w:sz w:val="22"/>
                <w:szCs w:val="22"/>
              </w:rPr>
            </w:pPr>
            <w:r w:rsidRPr="00B07E9A">
              <w:rPr>
                <w:sz w:val="22"/>
                <w:szCs w:val="22"/>
              </w:rPr>
              <w:t xml:space="preserve">NAIC ACL RBC = 0.0106*RWA </w:t>
            </w:r>
          </w:p>
          <w:p w14:paraId="32D4AD4A" w14:textId="77777777" w:rsidR="00897BE1" w:rsidRPr="00B07E9A" w:rsidRDefault="00897BE1" w:rsidP="00897BE1">
            <w:pPr>
              <w:pStyle w:val="Default"/>
              <w:rPr>
                <w:sz w:val="22"/>
                <w:szCs w:val="22"/>
              </w:rPr>
            </w:pPr>
            <w:r w:rsidRPr="00B07E9A">
              <w:rPr>
                <w:sz w:val="22"/>
                <w:szCs w:val="22"/>
              </w:rPr>
              <w:t xml:space="preserve">NAIC TAC = Banking Rule Total Capital – 0.063*RWA </w:t>
            </w:r>
          </w:p>
          <w:p w14:paraId="30060068" w14:textId="77777777" w:rsidR="00897BE1" w:rsidRDefault="00897BE1" w:rsidP="00897BE1">
            <w:pPr>
              <w:rPr>
                <w:sz w:val="20"/>
                <w:szCs w:val="20"/>
              </w:rPr>
            </w:pPr>
            <w:r w:rsidRPr="00B07E9A">
              <w:t>Risk Weighted Assets (RWA) = 94.3*NAIC ACL RBC</w:t>
            </w:r>
            <w:r>
              <w:rPr>
                <w:sz w:val="20"/>
                <w:szCs w:val="20"/>
              </w:rPr>
              <w:t xml:space="preserve"> </w:t>
            </w:r>
          </w:p>
          <w:p w14:paraId="047E0024" w14:textId="08E3C7E8" w:rsidR="00897BE1" w:rsidRDefault="00897BE1" w:rsidP="00897BE1">
            <w:pPr>
              <w:pStyle w:val="Default"/>
            </w:pPr>
            <w:r w:rsidRPr="00C70C3F">
              <w:rPr>
                <w:sz w:val="22"/>
                <w:szCs w:val="22"/>
              </w:rPr>
              <w:t xml:space="preserve">Banking Rule Total Capital = NAIC TAC + 5.9* NAIC ACL RBC </w:t>
            </w:r>
          </w:p>
        </w:tc>
        <w:tc>
          <w:tcPr>
            <w:tcW w:w="5985" w:type="dxa"/>
          </w:tcPr>
          <w:p w14:paraId="70D82344" w14:textId="1B0B7DDC" w:rsidR="00897BE1" w:rsidRPr="00B32ACC" w:rsidRDefault="00897BE1" w:rsidP="00897BE1">
            <w:pPr>
              <w:rPr>
                <w:b/>
                <w:bCs/>
              </w:rPr>
            </w:pPr>
            <w:r>
              <w:rPr>
                <w:b/>
                <w:bCs/>
              </w:rPr>
              <w:t xml:space="preserve">Option to </w:t>
            </w:r>
            <w:r w:rsidRPr="00B32ACC">
              <w:rPr>
                <w:b/>
                <w:bCs/>
              </w:rPr>
              <w:t>apply scalar to asset managers based on aggregate average RBC ratio of Life insurers</w:t>
            </w:r>
            <w:r>
              <w:rPr>
                <w:b/>
                <w:bCs/>
              </w:rPr>
              <w:t xml:space="preserve"> (TBD)</w:t>
            </w:r>
            <w:r w:rsidR="001B53B9">
              <w:rPr>
                <w:b/>
                <w:bCs/>
              </w:rPr>
              <w:t>.</w:t>
            </w:r>
          </w:p>
        </w:tc>
      </w:tr>
      <w:tr w:rsidR="000A766E" w14:paraId="0C719709" w14:textId="77777777" w:rsidTr="000A766E">
        <w:tc>
          <w:tcPr>
            <w:tcW w:w="1890" w:type="dxa"/>
          </w:tcPr>
          <w:p w14:paraId="34CC569F" w14:textId="77777777" w:rsidR="00897BE1" w:rsidRPr="00671233" w:rsidRDefault="00897BE1" w:rsidP="00897BE1">
            <w:pPr>
              <w:pStyle w:val="Default"/>
              <w:rPr>
                <w:b/>
                <w:bCs/>
                <w:sz w:val="22"/>
                <w:szCs w:val="22"/>
              </w:rPr>
            </w:pPr>
            <w:r w:rsidRPr="00671233">
              <w:rPr>
                <w:b/>
                <w:bCs/>
                <w:sz w:val="22"/>
                <w:szCs w:val="22"/>
              </w:rPr>
              <w:t xml:space="preserve">International scalars </w:t>
            </w:r>
          </w:p>
          <w:p w14:paraId="2CA0DEFD" w14:textId="77777777" w:rsidR="00897BE1" w:rsidRPr="00671233" w:rsidRDefault="00897BE1" w:rsidP="00897BE1">
            <w:pPr>
              <w:rPr>
                <w:b/>
                <w:bCs/>
              </w:rPr>
            </w:pPr>
          </w:p>
        </w:tc>
        <w:tc>
          <w:tcPr>
            <w:tcW w:w="7245" w:type="dxa"/>
          </w:tcPr>
          <w:p w14:paraId="343B3E95" w14:textId="22E81167" w:rsidR="005422BD" w:rsidRPr="001B53B9" w:rsidRDefault="00897BE1" w:rsidP="00897BE1">
            <w:pPr>
              <w:pStyle w:val="Default"/>
              <w:rPr>
                <w:b/>
                <w:bCs/>
                <w:sz w:val="22"/>
                <w:szCs w:val="22"/>
              </w:rPr>
            </w:pPr>
            <w:r w:rsidRPr="001B53B9">
              <w:rPr>
                <w:b/>
                <w:bCs/>
                <w:sz w:val="22"/>
                <w:szCs w:val="22"/>
              </w:rPr>
              <w:t xml:space="preserve">Currently no foreign insurers </w:t>
            </w:r>
            <w:r w:rsidR="00C57993" w:rsidRPr="001B53B9">
              <w:rPr>
                <w:b/>
                <w:bCs/>
                <w:sz w:val="22"/>
                <w:szCs w:val="22"/>
              </w:rPr>
              <w:t>would be building block parents and require scaling</w:t>
            </w:r>
            <w:r w:rsidR="001B53B9">
              <w:rPr>
                <w:b/>
                <w:bCs/>
                <w:sz w:val="22"/>
                <w:szCs w:val="22"/>
              </w:rPr>
              <w:t>.</w:t>
            </w:r>
          </w:p>
          <w:p w14:paraId="3B808647" w14:textId="77777777" w:rsidR="005422BD" w:rsidRPr="000A766E" w:rsidRDefault="005422BD" w:rsidP="00897BE1">
            <w:pPr>
              <w:pStyle w:val="Default"/>
              <w:rPr>
                <w:sz w:val="16"/>
                <w:szCs w:val="16"/>
              </w:rPr>
            </w:pPr>
          </w:p>
          <w:p w14:paraId="329750CD" w14:textId="74A2234F" w:rsidR="00897BE1" w:rsidRPr="00C70C3F" w:rsidRDefault="005422BD" w:rsidP="00911034">
            <w:pPr>
              <w:pStyle w:val="Default"/>
            </w:pPr>
            <w:r>
              <w:rPr>
                <w:sz w:val="22"/>
                <w:szCs w:val="22"/>
              </w:rPr>
              <w:t>The BBA specifies a provi</w:t>
            </w:r>
            <w:r w:rsidR="00561643">
              <w:rPr>
                <w:sz w:val="22"/>
                <w:szCs w:val="22"/>
              </w:rPr>
              <w:t>sion</w:t>
            </w:r>
            <w:r>
              <w:rPr>
                <w:sz w:val="22"/>
                <w:szCs w:val="22"/>
              </w:rPr>
              <w:t xml:space="preserve">al scaling method that would be used until the Fed specifies the scalar for a framework.  </w:t>
            </w:r>
            <w:r w:rsidR="00C57993">
              <w:rPr>
                <w:sz w:val="22"/>
                <w:szCs w:val="22"/>
              </w:rPr>
              <w:t xml:space="preserve">This provisional methodology </w:t>
            </w:r>
            <w:r w:rsidR="00400B7C" w:rsidRPr="00C57993">
              <w:t xml:space="preserve">would adjust required capital based </w:t>
            </w:r>
            <w:r>
              <w:rPr>
                <w:sz w:val="22"/>
                <w:szCs w:val="22"/>
              </w:rPr>
              <w:t xml:space="preserve">on </w:t>
            </w:r>
            <w:r w:rsidR="00400B7C" w:rsidRPr="00C57993">
              <w:t>adjusted jurisdictional intervention point</w:t>
            </w:r>
            <w:r>
              <w:rPr>
                <w:sz w:val="22"/>
                <w:szCs w:val="22"/>
              </w:rPr>
              <w:t>s</w:t>
            </w:r>
            <w:r w:rsidR="00561643">
              <w:t xml:space="preserve">.  </w:t>
            </w:r>
            <w:r w:rsidR="00561643">
              <w:rPr>
                <w:sz w:val="22"/>
                <w:szCs w:val="22"/>
              </w:rPr>
              <w:t>The j</w:t>
            </w:r>
            <w:r w:rsidR="00F4695C" w:rsidRPr="00911034">
              <w:rPr>
                <w:sz w:val="22"/>
                <w:szCs w:val="22"/>
              </w:rPr>
              <w:t>urisdictional intervention point is the capital level at which the supervisory authority would first have authority to take action against a company based on its capital level.  In</w:t>
            </w:r>
            <w:r w:rsidR="00911034">
              <w:rPr>
                <w:sz w:val="22"/>
                <w:szCs w:val="22"/>
              </w:rPr>
              <w:t xml:space="preserve"> </w:t>
            </w:r>
            <w:r w:rsidR="00F4695C" w:rsidRPr="00911034">
              <w:rPr>
                <w:sz w:val="22"/>
                <w:szCs w:val="22"/>
              </w:rPr>
              <w:t xml:space="preserve">countries with more country risk (based on OECD ratings), this jurisdictional intervention </w:t>
            </w:r>
            <w:r>
              <w:rPr>
                <w:sz w:val="22"/>
                <w:szCs w:val="22"/>
              </w:rPr>
              <w:t xml:space="preserve">adjusted upward </w:t>
            </w:r>
            <w:r w:rsidR="00561643">
              <w:rPr>
                <w:sz w:val="22"/>
                <w:szCs w:val="22"/>
              </w:rPr>
              <w:t>for</w:t>
            </w:r>
            <w:r>
              <w:rPr>
                <w:sz w:val="22"/>
                <w:szCs w:val="22"/>
              </w:rPr>
              <w:t xml:space="preserve"> scaling.</w:t>
            </w:r>
          </w:p>
        </w:tc>
        <w:tc>
          <w:tcPr>
            <w:tcW w:w="5985" w:type="dxa"/>
          </w:tcPr>
          <w:p w14:paraId="0EAE6947" w14:textId="2DC2F40C" w:rsidR="00897BE1" w:rsidRPr="009D5B35" w:rsidRDefault="00897BE1" w:rsidP="00897BE1">
            <w:r w:rsidRPr="001B53B9">
              <w:rPr>
                <w:b/>
                <w:bCs/>
              </w:rPr>
              <w:t>Pure Relative Ratio approach</w:t>
            </w:r>
            <w:r w:rsidRPr="009D5B35">
              <w:t xml:space="preserve"> applies scalar based on aggregate average RBC ratio at </w:t>
            </w:r>
            <w:r w:rsidR="009D5B35">
              <w:t>300% x ACL RBC (</w:t>
            </w:r>
            <w:r w:rsidRPr="009D5B35">
              <w:t>trend test level) compared to average aggregate jurisdictional capital ratio (where data is available) at first intervention level</w:t>
            </w:r>
            <w:r w:rsidR="009D5B35">
              <w:t xml:space="preserve"> (PCR)</w:t>
            </w:r>
            <w:r w:rsidRPr="009D5B35">
              <w:t>.</w:t>
            </w:r>
          </w:p>
          <w:p w14:paraId="540978AC" w14:textId="54F8FF79" w:rsidR="00897BE1" w:rsidRDefault="009D5B35" w:rsidP="00897BE1">
            <w:r>
              <w:t>For o</w:t>
            </w:r>
            <w:r w:rsidR="00897BE1">
              <w:t>ther jurisdictions</w:t>
            </w:r>
            <w:r>
              <w:t xml:space="preserve"> with risk-based capital formulas</w:t>
            </w:r>
            <w:r w:rsidR="00897BE1">
              <w:t xml:space="preserve"> use 100% of jurisdictional capital requirement at first intervention level</w:t>
            </w:r>
            <w:r>
              <w:t>.  Considering an equity-based charge for others</w:t>
            </w:r>
            <w:r w:rsidR="00897BE1">
              <w:t>.</w:t>
            </w:r>
          </w:p>
          <w:p w14:paraId="0A673AF3" w14:textId="77777777" w:rsidR="00897BE1" w:rsidRDefault="00897BE1" w:rsidP="00897BE1">
            <w:pPr>
              <w:pStyle w:val="Default"/>
              <w:rPr>
                <w:sz w:val="22"/>
                <w:szCs w:val="22"/>
              </w:rPr>
            </w:pPr>
          </w:p>
          <w:p w14:paraId="7203877C" w14:textId="14DCC5EF" w:rsidR="00897BE1" w:rsidRDefault="00897BE1" w:rsidP="00911034">
            <w:pPr>
              <w:pStyle w:val="Default"/>
            </w:pPr>
            <w:r w:rsidRPr="00C70C3F">
              <w:rPr>
                <w:sz w:val="22"/>
                <w:szCs w:val="22"/>
              </w:rPr>
              <w:t xml:space="preserve">Available capital is not adjusted. </w:t>
            </w:r>
          </w:p>
        </w:tc>
      </w:tr>
      <w:tr w:rsidR="000A766E" w14:paraId="61403FEE" w14:textId="77777777" w:rsidTr="000A766E">
        <w:tc>
          <w:tcPr>
            <w:tcW w:w="1890" w:type="dxa"/>
          </w:tcPr>
          <w:p w14:paraId="0E8F1C91" w14:textId="6A761B15" w:rsidR="00897BE1" w:rsidRPr="00671233" w:rsidRDefault="00897BE1" w:rsidP="00897BE1">
            <w:pPr>
              <w:rPr>
                <w:b/>
                <w:bCs/>
              </w:rPr>
            </w:pPr>
            <w:r w:rsidRPr="00671233">
              <w:rPr>
                <w:b/>
                <w:bCs/>
              </w:rPr>
              <w:lastRenderedPageBreak/>
              <w:t>Capital Instruments</w:t>
            </w:r>
          </w:p>
        </w:tc>
        <w:tc>
          <w:tcPr>
            <w:tcW w:w="7245" w:type="dxa"/>
          </w:tcPr>
          <w:p w14:paraId="2479275F" w14:textId="501DE500" w:rsidR="00897BE1" w:rsidRPr="008541AA" w:rsidRDefault="00897BE1" w:rsidP="00897BE1">
            <w:pPr>
              <w:pStyle w:val="Default"/>
              <w:rPr>
                <w:sz w:val="22"/>
                <w:szCs w:val="22"/>
              </w:rPr>
            </w:pPr>
            <w:r w:rsidRPr="008541AA">
              <w:rPr>
                <w:sz w:val="22"/>
                <w:szCs w:val="22"/>
              </w:rPr>
              <w:t xml:space="preserve">These instruments may count as available capital if they meet the following </w:t>
            </w:r>
            <w:r w:rsidR="00B66367" w:rsidRPr="008541AA">
              <w:rPr>
                <w:sz w:val="22"/>
                <w:szCs w:val="22"/>
              </w:rPr>
              <w:t>requirements,</w:t>
            </w:r>
            <w:r w:rsidRPr="008541AA">
              <w:rPr>
                <w:sz w:val="22"/>
                <w:szCs w:val="22"/>
              </w:rPr>
              <w:t xml:space="preserve"> but the amount included in available capital cannot &gt; 62.5% of the min BBA capital requirement. </w:t>
            </w:r>
          </w:p>
          <w:p w14:paraId="336888C2" w14:textId="77777777" w:rsidR="00897BE1" w:rsidRPr="008541AA" w:rsidRDefault="00897BE1" w:rsidP="00897BE1">
            <w:pPr>
              <w:pStyle w:val="Default"/>
              <w:rPr>
                <w:sz w:val="22"/>
                <w:szCs w:val="22"/>
              </w:rPr>
            </w:pPr>
          </w:p>
          <w:p w14:paraId="56E81DE9" w14:textId="2F218142" w:rsidR="00897BE1" w:rsidRPr="008541AA" w:rsidRDefault="00897BE1" w:rsidP="00897BE1">
            <w:pPr>
              <w:pStyle w:val="Default"/>
              <w:rPr>
                <w:sz w:val="22"/>
                <w:szCs w:val="22"/>
              </w:rPr>
            </w:pPr>
            <w:r w:rsidRPr="008541AA">
              <w:rPr>
                <w:sz w:val="22"/>
                <w:szCs w:val="22"/>
              </w:rPr>
              <w:t xml:space="preserve">Criteria for inclusion as a qualifying capital instrument: </w:t>
            </w:r>
          </w:p>
          <w:p w14:paraId="21D0488A" w14:textId="77777777" w:rsidR="00897BE1" w:rsidRPr="008541AA" w:rsidRDefault="00897BE1" w:rsidP="00897BE1">
            <w:pPr>
              <w:pStyle w:val="Default"/>
              <w:rPr>
                <w:sz w:val="22"/>
                <w:szCs w:val="22"/>
              </w:rPr>
            </w:pPr>
            <w:r w:rsidRPr="008541AA">
              <w:rPr>
                <w:sz w:val="22"/>
                <w:szCs w:val="22"/>
              </w:rPr>
              <w:t xml:space="preserve">1. The instrument is issued and paid-in; </w:t>
            </w:r>
          </w:p>
          <w:p w14:paraId="4E7BA841" w14:textId="77777777" w:rsidR="00897BE1" w:rsidRPr="008541AA" w:rsidRDefault="00897BE1" w:rsidP="00897BE1">
            <w:pPr>
              <w:pStyle w:val="Default"/>
              <w:rPr>
                <w:sz w:val="22"/>
                <w:szCs w:val="22"/>
              </w:rPr>
            </w:pPr>
            <w:r w:rsidRPr="008541AA">
              <w:rPr>
                <w:sz w:val="22"/>
                <w:szCs w:val="22"/>
              </w:rPr>
              <w:t xml:space="preserve">2. The instrument is subordinated to depositors and general creditors of the building block parent; </w:t>
            </w:r>
          </w:p>
          <w:p w14:paraId="78F2A272" w14:textId="77777777" w:rsidR="00897BE1" w:rsidRPr="008541AA" w:rsidRDefault="00897BE1" w:rsidP="00897BE1">
            <w:pPr>
              <w:pStyle w:val="Default"/>
              <w:rPr>
                <w:sz w:val="22"/>
                <w:szCs w:val="22"/>
              </w:rPr>
            </w:pPr>
            <w:r w:rsidRPr="008541AA">
              <w:rPr>
                <w:sz w:val="22"/>
                <w:szCs w:val="22"/>
              </w:rPr>
              <w:t xml:space="preserve">3. The instrument is not secured, not covered by a guarantee of the building block parent or of an affiliate of the building block parent, and not subject to any other arrangement that legally or economically enhances the seniority of the instrument in relation to more senior claims; </w:t>
            </w:r>
          </w:p>
          <w:p w14:paraId="0F4EF1A5" w14:textId="31854437" w:rsidR="00897BE1" w:rsidRPr="008541AA" w:rsidRDefault="00897BE1" w:rsidP="00897BE1">
            <w:pPr>
              <w:pStyle w:val="Default"/>
              <w:rPr>
                <w:sz w:val="22"/>
                <w:szCs w:val="22"/>
              </w:rPr>
            </w:pPr>
            <w:r w:rsidRPr="008541AA">
              <w:rPr>
                <w:sz w:val="22"/>
                <w:szCs w:val="22"/>
              </w:rPr>
              <w:t xml:space="preserve">4. The instrument has a minimum original maturity of at least five years. At the beginning of each of the last five years of the life of the instrument, the amount that is eligible to be included in a building block parent company available capital building block available capital ’s or is reduced by 20 percent of the original amount of the instrument (net of redemptions) and is excluded from regulatory capital when the remaining maturity is less than one year. In addition, the instrument must not have any term or features that require, or create significant incentives for the building block parent to redeem the instrument prior to maturity; and </w:t>
            </w:r>
          </w:p>
          <w:p w14:paraId="4C3A0A66" w14:textId="77777777" w:rsidR="00897BE1" w:rsidRPr="008541AA" w:rsidRDefault="00897BE1" w:rsidP="00897BE1">
            <w:r w:rsidRPr="008541AA">
              <w:t xml:space="preserve">5. The instrument, by its terms, may be called by the building block parent only after a minimum of five years following issuance, except that the terms of the instrument may allow it to be called sooner upon the occurrence of an event that would preclude the instrument from being included in a building block parent’s company available capital or building block available capital, a tax </w:t>
            </w:r>
          </w:p>
          <w:p w14:paraId="725E3D49" w14:textId="77777777" w:rsidR="00897BE1" w:rsidRPr="008541AA" w:rsidRDefault="00897BE1" w:rsidP="00897BE1">
            <w:pPr>
              <w:pStyle w:val="Default"/>
              <w:rPr>
                <w:sz w:val="22"/>
                <w:szCs w:val="22"/>
              </w:rPr>
            </w:pPr>
            <w:r w:rsidRPr="008541AA">
              <w:rPr>
                <w:sz w:val="22"/>
                <w:szCs w:val="22"/>
              </w:rPr>
              <w:t xml:space="preserve">event, or if the issuing entity is required to register as an investment company pursuant to the Investment Company Act of 1940. </w:t>
            </w:r>
          </w:p>
          <w:p w14:paraId="4BFF2A0B" w14:textId="77777777" w:rsidR="00897BE1" w:rsidRPr="008541AA" w:rsidRDefault="00897BE1" w:rsidP="00897BE1">
            <w:pPr>
              <w:pStyle w:val="Default"/>
              <w:rPr>
                <w:sz w:val="22"/>
                <w:szCs w:val="22"/>
              </w:rPr>
            </w:pPr>
            <w:r w:rsidRPr="008541AA">
              <w:rPr>
                <w:sz w:val="22"/>
                <w:szCs w:val="22"/>
              </w:rPr>
              <w:t xml:space="preserve">6. The holder of the instrument must have no contractual right to accelerate payment of principal or interest on the instrument, except in the event of receivership, insolvency, liquidation, or similar proceeding of the building block parent or of a major subsidiary of the building block parent. </w:t>
            </w:r>
          </w:p>
          <w:p w14:paraId="72FCED34" w14:textId="77777777" w:rsidR="00897BE1" w:rsidRPr="008541AA" w:rsidRDefault="00897BE1" w:rsidP="00897BE1">
            <w:r w:rsidRPr="008541AA">
              <w:t xml:space="preserve">7. The instrument has no credit-sensitive feature, such as a dividend or interest rate that is reset periodically based in whole or in part on the building block parent’s credit standing, but may have a dividend rate that is adjusted </w:t>
            </w:r>
            <w:r w:rsidRPr="008541AA">
              <w:lastRenderedPageBreak/>
              <w:t xml:space="preserve">periodically independent of the building block parent’s credit standing, in relation to general market interest rates or similar adjustments. </w:t>
            </w:r>
          </w:p>
          <w:p w14:paraId="58694D4D" w14:textId="77777777" w:rsidR="00897BE1" w:rsidRPr="008541AA" w:rsidRDefault="00897BE1" w:rsidP="00897BE1">
            <w:pPr>
              <w:pStyle w:val="Default"/>
              <w:rPr>
                <w:sz w:val="22"/>
                <w:szCs w:val="22"/>
              </w:rPr>
            </w:pPr>
            <w:r w:rsidRPr="008541AA">
              <w:rPr>
                <w:sz w:val="22"/>
                <w:szCs w:val="22"/>
              </w:rPr>
              <w:t xml:space="preserve">8. The building block parent, or any entity that the building block parent controls, has not purchased and has not directly or indirectly funded the purchase of the instrument. </w:t>
            </w:r>
          </w:p>
          <w:p w14:paraId="2347950F" w14:textId="2DBEE38C" w:rsidR="00897BE1" w:rsidRPr="008541AA" w:rsidRDefault="00897BE1" w:rsidP="00897BE1">
            <w:r w:rsidRPr="008541AA">
              <w:t>9. If the instrument is not issued by the building block parent or by a subsidiary of the building block parent that is an operating entity, the only asset of the issuing entity is its investment in the capital of the building block parent, and proceeds must be immediately available without limitation to the building block parent or the building block parent’s top-tier holding company in a form that meet or exceeds all of the other criteria in this definition.</w:t>
            </w:r>
          </w:p>
        </w:tc>
        <w:tc>
          <w:tcPr>
            <w:tcW w:w="5985" w:type="dxa"/>
          </w:tcPr>
          <w:p w14:paraId="770C8266" w14:textId="77777777" w:rsidR="00897BE1" w:rsidRPr="008541AA" w:rsidRDefault="00897BE1" w:rsidP="00897BE1">
            <w:pPr>
              <w:pStyle w:val="Default"/>
              <w:rPr>
                <w:sz w:val="22"/>
                <w:szCs w:val="22"/>
              </w:rPr>
            </w:pPr>
            <w:r w:rsidRPr="008541AA">
              <w:rPr>
                <w:sz w:val="22"/>
                <w:szCs w:val="22"/>
              </w:rPr>
              <w:lastRenderedPageBreak/>
              <w:t xml:space="preserve">These instruments count as available capital if they meet the following requirements but the amount included in available capital cannot &gt; </w:t>
            </w:r>
            <w:r>
              <w:rPr>
                <w:sz w:val="22"/>
                <w:szCs w:val="22"/>
              </w:rPr>
              <w:t>50</w:t>
            </w:r>
            <w:r w:rsidRPr="008541AA">
              <w:rPr>
                <w:sz w:val="22"/>
                <w:szCs w:val="22"/>
              </w:rPr>
              <w:t xml:space="preserve">% of </w:t>
            </w:r>
            <w:r>
              <w:rPr>
                <w:sz w:val="22"/>
                <w:szCs w:val="22"/>
              </w:rPr>
              <w:t>total available capital without the debt allowance included.</w:t>
            </w:r>
            <w:r w:rsidRPr="008541AA">
              <w:rPr>
                <w:sz w:val="22"/>
                <w:szCs w:val="22"/>
              </w:rPr>
              <w:t xml:space="preserve"> </w:t>
            </w:r>
          </w:p>
          <w:p w14:paraId="35F378EB" w14:textId="77777777" w:rsidR="00897BE1" w:rsidRDefault="00897BE1" w:rsidP="00897BE1"/>
          <w:p w14:paraId="58729E92" w14:textId="77777777" w:rsidR="00897BE1" w:rsidRPr="00B1131A" w:rsidRDefault="00897BE1" w:rsidP="00897BE1">
            <w:pPr>
              <w:pStyle w:val="Default"/>
              <w:rPr>
                <w:rFonts w:asciiTheme="minorHAnsi" w:hAnsiTheme="minorHAnsi" w:cstheme="minorHAnsi"/>
                <w:sz w:val="22"/>
                <w:szCs w:val="22"/>
              </w:rPr>
            </w:pPr>
            <w:r w:rsidRPr="00B1131A">
              <w:rPr>
                <w:rFonts w:asciiTheme="minorHAnsi" w:hAnsiTheme="minorHAnsi" w:cstheme="minorHAnsi"/>
                <w:sz w:val="22"/>
                <w:szCs w:val="22"/>
              </w:rPr>
              <w:t xml:space="preserve">Criteria for inclusion as a qualifying capital instrument: </w:t>
            </w:r>
          </w:p>
          <w:p w14:paraId="403A20A7" w14:textId="77777777" w:rsidR="00897BE1" w:rsidRPr="00B1131A" w:rsidRDefault="00897BE1" w:rsidP="00897BE1">
            <w:pPr>
              <w:pStyle w:val="ListParagraph"/>
              <w:numPr>
                <w:ilvl w:val="0"/>
                <w:numId w:val="9"/>
              </w:numPr>
              <w:tabs>
                <w:tab w:val="right" w:leader="dot" w:pos="9360"/>
              </w:tabs>
              <w:spacing w:after="120"/>
              <w:ind w:left="331" w:hanging="270"/>
              <w:jc w:val="both"/>
              <w:rPr>
                <w:rFonts w:cstheme="minorHAnsi"/>
              </w:rPr>
            </w:pPr>
            <w:r w:rsidRPr="00B1131A">
              <w:rPr>
                <w:rFonts w:cstheme="minorHAnsi"/>
              </w:rPr>
              <w:t xml:space="preserve"> The instrument has a fixed term (a minimum of five years at the date of issue or refinance, including any call options).</w:t>
            </w:r>
          </w:p>
          <w:p w14:paraId="110389CD" w14:textId="77777777" w:rsidR="00897BE1" w:rsidRPr="00B1131A" w:rsidRDefault="00897BE1" w:rsidP="00897BE1">
            <w:pPr>
              <w:pStyle w:val="ListParagraph"/>
              <w:numPr>
                <w:ilvl w:val="0"/>
                <w:numId w:val="9"/>
              </w:numPr>
              <w:spacing w:after="120"/>
              <w:ind w:left="331" w:hanging="270"/>
              <w:rPr>
                <w:rFonts w:cstheme="minorHAnsi"/>
              </w:rPr>
            </w:pPr>
            <w:r w:rsidRPr="00B1131A">
              <w:rPr>
                <w:rFonts w:cstheme="minorHAnsi"/>
              </w:rPr>
              <w:t>Supervisory approval is required for any extraordinary dividend or distribution from any insurance subsidiary to fund the repurchase or redemption of the instrument. There shall be no expectation, either implied or through the terms of the instrument, that approval will be granted without supervisory review.</w:t>
            </w:r>
          </w:p>
          <w:p w14:paraId="4FCA3CDD" w14:textId="77777777" w:rsidR="00897BE1" w:rsidRPr="00B1131A" w:rsidRDefault="00897BE1" w:rsidP="00897BE1">
            <w:pPr>
              <w:pStyle w:val="Default"/>
              <w:rPr>
                <w:rFonts w:asciiTheme="minorHAnsi" w:hAnsiTheme="minorHAnsi" w:cstheme="minorHAnsi"/>
                <w:sz w:val="22"/>
                <w:szCs w:val="22"/>
              </w:rPr>
            </w:pPr>
            <w:r w:rsidRPr="00B1131A">
              <w:rPr>
                <w:rFonts w:asciiTheme="minorHAnsi" w:hAnsiTheme="minorHAnsi" w:cstheme="minorHAnsi"/>
                <w:sz w:val="22"/>
                <w:szCs w:val="22"/>
              </w:rPr>
              <w:t>The amount allowed is based on a two part calculation that compares paid-in and contributed capital reported by the insurers in the group to a proxy value that allows 30% of available capital + qualifying debt for senior debt + 15% of available capital + qualifying debt for hybrid debt.  The greater of the two parts is the additional capital allowance.</w:t>
            </w:r>
          </w:p>
          <w:p w14:paraId="1C8DB764" w14:textId="77777777" w:rsidR="00897BE1" w:rsidRPr="00B1131A" w:rsidRDefault="00897BE1" w:rsidP="00897BE1">
            <w:pPr>
              <w:pStyle w:val="Default"/>
              <w:rPr>
                <w:rFonts w:asciiTheme="minorHAnsi" w:hAnsiTheme="minorHAnsi" w:cstheme="minorHAnsi"/>
                <w:sz w:val="22"/>
                <w:szCs w:val="22"/>
              </w:rPr>
            </w:pPr>
          </w:p>
          <w:p w14:paraId="03C12749" w14:textId="77777777" w:rsidR="00897BE1" w:rsidRPr="00B1131A" w:rsidRDefault="00897BE1" w:rsidP="00897BE1">
            <w:pPr>
              <w:pStyle w:val="Default"/>
              <w:rPr>
                <w:rFonts w:asciiTheme="minorHAnsi" w:hAnsiTheme="minorHAnsi" w:cstheme="minorHAnsi"/>
                <w:sz w:val="22"/>
                <w:szCs w:val="22"/>
              </w:rPr>
            </w:pPr>
            <w:r>
              <w:rPr>
                <w:rFonts w:asciiTheme="minorHAnsi" w:hAnsiTheme="minorHAnsi" w:cstheme="minorHAnsi"/>
                <w:sz w:val="22"/>
                <w:szCs w:val="22"/>
              </w:rPr>
              <w:t xml:space="preserve">The allowance </w:t>
            </w:r>
            <w:r w:rsidRPr="00B1131A">
              <w:rPr>
                <w:rFonts w:asciiTheme="minorHAnsi" w:hAnsiTheme="minorHAnsi" w:cstheme="minorHAnsi"/>
                <w:sz w:val="22"/>
                <w:szCs w:val="22"/>
              </w:rPr>
              <w:t>is currently applied as an on top adjustment but an alternative approach of adding the amounts to the adjusted carrying value of the issuer is under consideration.</w:t>
            </w:r>
          </w:p>
          <w:p w14:paraId="240CD897" w14:textId="77777777" w:rsidR="00897BE1" w:rsidRPr="00B1131A" w:rsidRDefault="00897BE1" w:rsidP="00897BE1">
            <w:pPr>
              <w:pStyle w:val="Default"/>
              <w:rPr>
                <w:rFonts w:asciiTheme="minorHAnsi" w:hAnsiTheme="minorHAnsi" w:cstheme="minorHAnsi"/>
                <w:sz w:val="22"/>
                <w:szCs w:val="22"/>
              </w:rPr>
            </w:pPr>
          </w:p>
          <w:p w14:paraId="0C2E24A3" w14:textId="1BDDCDC2" w:rsidR="00897BE1" w:rsidRDefault="00897BE1" w:rsidP="00897BE1">
            <w:pPr>
              <w:pStyle w:val="Default"/>
            </w:pPr>
            <w:r w:rsidRPr="00B1131A">
              <w:rPr>
                <w:rFonts w:asciiTheme="minorHAnsi" w:hAnsiTheme="minorHAnsi" w:cstheme="minorHAnsi"/>
                <w:sz w:val="22"/>
                <w:szCs w:val="22"/>
              </w:rPr>
              <w:t>If a qualifying debt issuer is excluded from the scope of application of the GCC, no allowance for additional capital will be calculated for that issuer.</w:t>
            </w:r>
          </w:p>
        </w:tc>
      </w:tr>
      <w:tr w:rsidR="000A766E" w14:paraId="6F4A5465" w14:textId="77777777" w:rsidTr="000A766E">
        <w:tc>
          <w:tcPr>
            <w:tcW w:w="1890" w:type="dxa"/>
          </w:tcPr>
          <w:p w14:paraId="4A5A25F6" w14:textId="35E0FE56" w:rsidR="00897BE1" w:rsidRPr="00671233" w:rsidRDefault="00897BE1" w:rsidP="00897BE1">
            <w:pPr>
              <w:rPr>
                <w:b/>
                <w:bCs/>
              </w:rPr>
            </w:pPr>
            <w:r>
              <w:rPr>
                <w:b/>
                <w:bCs/>
              </w:rPr>
              <w:t xml:space="preserve">Prescribed and </w:t>
            </w:r>
            <w:r w:rsidRPr="00671233">
              <w:rPr>
                <w:b/>
                <w:bCs/>
              </w:rPr>
              <w:t>Permitted Practices</w:t>
            </w:r>
          </w:p>
        </w:tc>
        <w:tc>
          <w:tcPr>
            <w:tcW w:w="7245" w:type="dxa"/>
          </w:tcPr>
          <w:p w14:paraId="7F6F328B" w14:textId="4AF8C54B" w:rsidR="00897BE1" w:rsidRPr="003E5E76" w:rsidRDefault="00897BE1" w:rsidP="00897BE1">
            <w:pPr>
              <w:pStyle w:val="Default"/>
            </w:pPr>
            <w:r w:rsidRPr="001B53B9">
              <w:rPr>
                <w:b/>
                <w:bCs/>
                <w:sz w:val="22"/>
                <w:szCs w:val="22"/>
              </w:rPr>
              <w:t xml:space="preserve">Reverse permitted and prescribed practices that affect capital requirements and available capital. </w:t>
            </w:r>
          </w:p>
        </w:tc>
        <w:tc>
          <w:tcPr>
            <w:tcW w:w="5985" w:type="dxa"/>
          </w:tcPr>
          <w:p w14:paraId="4B89F04F" w14:textId="77777777" w:rsidR="00897BE1" w:rsidRPr="001B53B9" w:rsidRDefault="00897BE1" w:rsidP="00897BE1">
            <w:pPr>
              <w:rPr>
                <w:b/>
                <w:bCs/>
              </w:rPr>
            </w:pPr>
            <w:r w:rsidRPr="001B53B9">
              <w:rPr>
                <w:b/>
                <w:bCs/>
              </w:rPr>
              <w:t>Base GCC includes values of prescribed and permitted practices in available capital and where applicable in capital requirements.</w:t>
            </w:r>
          </w:p>
          <w:p w14:paraId="67F2F914" w14:textId="05D4F49F" w:rsidR="00897BE1" w:rsidRDefault="00897BE1" w:rsidP="00897BE1">
            <w:r>
              <w:t>A separate sensitivity analysis reverses the permitted and prescribed practices.</w:t>
            </w:r>
          </w:p>
        </w:tc>
      </w:tr>
      <w:tr w:rsidR="000A766E" w14:paraId="439E6E85" w14:textId="77777777" w:rsidTr="000A766E">
        <w:tc>
          <w:tcPr>
            <w:tcW w:w="1890" w:type="dxa"/>
          </w:tcPr>
          <w:p w14:paraId="72A02B83" w14:textId="77777777" w:rsidR="00897BE1" w:rsidRPr="00671233" w:rsidRDefault="00897BE1" w:rsidP="00897BE1">
            <w:pPr>
              <w:rPr>
                <w:b/>
                <w:bCs/>
              </w:rPr>
            </w:pPr>
            <w:r w:rsidRPr="00671233">
              <w:rPr>
                <w:b/>
                <w:bCs/>
              </w:rPr>
              <w:t xml:space="preserve">Materiality </w:t>
            </w:r>
          </w:p>
          <w:p w14:paraId="1194A89F" w14:textId="3C630E83" w:rsidR="00897BE1" w:rsidRPr="00671233" w:rsidRDefault="00897BE1" w:rsidP="00897BE1">
            <w:pPr>
              <w:rPr>
                <w:b/>
                <w:bCs/>
              </w:rPr>
            </w:pPr>
          </w:p>
        </w:tc>
        <w:tc>
          <w:tcPr>
            <w:tcW w:w="7245" w:type="dxa"/>
          </w:tcPr>
          <w:p w14:paraId="0F158E0B" w14:textId="39F5518B" w:rsidR="00897BE1" w:rsidRPr="0030089D" w:rsidRDefault="00897BE1">
            <w:r w:rsidRPr="001B53B9">
              <w:rPr>
                <w:b/>
                <w:bCs/>
              </w:rPr>
              <w:t>Yes, when assessing potentially de</w:t>
            </w:r>
            <w:r w:rsidR="00B66367" w:rsidRPr="001B53B9">
              <w:rPr>
                <w:b/>
                <w:bCs/>
              </w:rPr>
              <w:t>-</w:t>
            </w:r>
            <w:r w:rsidRPr="001B53B9">
              <w:rPr>
                <w:b/>
                <w:bCs/>
              </w:rPr>
              <w:t>stacking financial operations</w:t>
            </w:r>
            <w:r w:rsidRPr="0030089D">
              <w:t xml:space="preserve"> </w:t>
            </w:r>
            <w:r w:rsidRPr="00891087">
              <w:rPr>
                <w:b/>
                <w:bCs/>
              </w:rPr>
              <w:t>that are not otherwise subject to capital regulation and insurance operations subject to frameworks for which scalars have not been specified</w:t>
            </w:r>
            <w:r w:rsidRPr="0030089D">
              <w:t xml:space="preserve">.  </w:t>
            </w:r>
            <w:r w:rsidR="00171C5D">
              <w:t xml:space="preserve">A subsidiary is material if it can cause losses </w:t>
            </w:r>
            <w:r>
              <w:t xml:space="preserve">to the top-tier </w:t>
            </w:r>
            <w:r w:rsidR="00171C5D">
              <w:t>DI hold co</w:t>
            </w:r>
            <w:r>
              <w:t xml:space="preserve"> that exceed one percent of the group’s assets</w:t>
            </w:r>
            <w:bookmarkStart w:id="0" w:name="_GoBack"/>
            <w:bookmarkEnd w:id="0"/>
            <w:r w:rsidRPr="0030089D">
              <w:t xml:space="preserve">. </w:t>
            </w:r>
          </w:p>
        </w:tc>
        <w:tc>
          <w:tcPr>
            <w:tcW w:w="5985" w:type="dxa"/>
          </w:tcPr>
          <w:p w14:paraId="36E98785" w14:textId="5F6E02B6" w:rsidR="00897BE1" w:rsidRDefault="001B53B9" w:rsidP="00897BE1">
            <w:r w:rsidRPr="001B53B9">
              <w:rPr>
                <w:b/>
                <w:bCs/>
              </w:rPr>
              <w:t xml:space="preserve">Yes, based on </w:t>
            </w:r>
            <w:r w:rsidR="00897BE1" w:rsidRPr="001B53B9">
              <w:rPr>
                <w:b/>
                <w:bCs/>
              </w:rPr>
              <w:t>Lead-State discretion</w:t>
            </w:r>
            <w:r>
              <w:rPr>
                <w:b/>
                <w:bCs/>
              </w:rPr>
              <w:t xml:space="preserve"> when evaluating requested entity exclusions</w:t>
            </w:r>
            <w:r w:rsidR="00897BE1">
              <w:t>.</w:t>
            </w:r>
          </w:p>
          <w:p w14:paraId="48F6EAE7" w14:textId="364304B5" w:rsidR="00897BE1" w:rsidRDefault="00897BE1" w:rsidP="00897BE1">
            <w:r>
              <w:t>Potential for guidance</w:t>
            </w:r>
            <w:r w:rsidR="00891087">
              <w:t xml:space="preserve"> around materiality </w:t>
            </w:r>
            <w:r>
              <w:t>under discussion</w:t>
            </w:r>
          </w:p>
        </w:tc>
      </w:tr>
      <w:tr w:rsidR="000A766E" w14:paraId="7EB492E1" w14:textId="77777777" w:rsidTr="000A766E">
        <w:tc>
          <w:tcPr>
            <w:tcW w:w="1890" w:type="dxa"/>
          </w:tcPr>
          <w:p w14:paraId="3002AC8C" w14:textId="3F308E5B" w:rsidR="00897BE1" w:rsidRPr="00671233" w:rsidRDefault="00897BE1" w:rsidP="00897BE1">
            <w:pPr>
              <w:rPr>
                <w:b/>
                <w:bCs/>
              </w:rPr>
            </w:pPr>
            <w:r w:rsidRPr="00671233">
              <w:rPr>
                <w:b/>
                <w:bCs/>
              </w:rPr>
              <w:t>Other Data collected</w:t>
            </w:r>
          </w:p>
        </w:tc>
        <w:tc>
          <w:tcPr>
            <w:tcW w:w="7245" w:type="dxa"/>
          </w:tcPr>
          <w:p w14:paraId="35F4C6CF" w14:textId="1D8F24AF" w:rsidR="00897BE1" w:rsidRPr="00787B6A" w:rsidRDefault="00897BE1" w:rsidP="00897BE1">
            <w:pPr>
              <w:rPr>
                <w:b/>
                <w:bCs/>
              </w:rPr>
            </w:pPr>
            <w:r w:rsidRPr="00787B6A">
              <w:rPr>
                <w:b/>
                <w:bCs/>
              </w:rPr>
              <w:t>Additional information collected to support BBA ratio calculation:</w:t>
            </w:r>
          </w:p>
          <w:p w14:paraId="18DBDE17" w14:textId="7CF9A61A" w:rsidR="00897BE1" w:rsidRPr="0030089D" w:rsidRDefault="00897BE1" w:rsidP="00897BE1">
            <w:pPr>
              <w:pStyle w:val="ListParagraph"/>
              <w:numPr>
                <w:ilvl w:val="0"/>
                <w:numId w:val="11"/>
              </w:numPr>
            </w:pPr>
            <w:r w:rsidRPr="0030089D">
              <w:t>Intercompany transactions</w:t>
            </w:r>
          </w:p>
          <w:p w14:paraId="10663599" w14:textId="2A1C2CE7" w:rsidR="00897BE1" w:rsidRPr="0030089D" w:rsidRDefault="00897BE1" w:rsidP="00897BE1">
            <w:pPr>
              <w:pStyle w:val="ListParagraph"/>
              <w:numPr>
                <w:ilvl w:val="0"/>
                <w:numId w:val="11"/>
              </w:numPr>
            </w:pPr>
            <w:r w:rsidRPr="0030089D">
              <w:t>Internal reinsurance</w:t>
            </w:r>
          </w:p>
          <w:p w14:paraId="432D314E" w14:textId="19B42066" w:rsidR="00897BE1" w:rsidRPr="0030089D" w:rsidRDefault="00897BE1" w:rsidP="00897BE1">
            <w:pPr>
              <w:pStyle w:val="ListParagraph"/>
              <w:numPr>
                <w:ilvl w:val="0"/>
                <w:numId w:val="11"/>
              </w:numPr>
            </w:pPr>
            <w:r w:rsidRPr="0030089D">
              <w:t>Prescribed / permitted practices</w:t>
            </w:r>
          </w:p>
          <w:p w14:paraId="2E6F5532" w14:textId="77777777" w:rsidR="00897BE1" w:rsidRPr="0030089D" w:rsidRDefault="00897BE1" w:rsidP="00897BE1">
            <w:pPr>
              <w:pStyle w:val="ListParagraph"/>
              <w:numPr>
                <w:ilvl w:val="0"/>
                <w:numId w:val="11"/>
              </w:numPr>
            </w:pPr>
            <w:r w:rsidRPr="0030089D">
              <w:t>Capital instruments</w:t>
            </w:r>
          </w:p>
          <w:p w14:paraId="3D0D5905" w14:textId="77777777" w:rsidR="00897BE1" w:rsidRPr="00D14AF6" w:rsidRDefault="00897BE1" w:rsidP="00897BE1">
            <w:pPr>
              <w:pStyle w:val="ListParagraph"/>
              <w:numPr>
                <w:ilvl w:val="0"/>
                <w:numId w:val="11"/>
              </w:numPr>
            </w:pPr>
            <w:r w:rsidRPr="0030089D">
              <w:t>Reinsurance pools</w:t>
            </w:r>
          </w:p>
          <w:p w14:paraId="71A25498" w14:textId="4FB130E5" w:rsidR="00897BE1" w:rsidRPr="0030089D" w:rsidRDefault="00897BE1" w:rsidP="00897BE1">
            <w:pPr>
              <w:pStyle w:val="ListParagraph"/>
              <w:numPr>
                <w:ilvl w:val="0"/>
                <w:numId w:val="11"/>
              </w:numPr>
            </w:pPr>
            <w:r w:rsidRPr="00D14AF6">
              <w:t>Liquidity Pools</w:t>
            </w:r>
          </w:p>
        </w:tc>
        <w:tc>
          <w:tcPr>
            <w:tcW w:w="5985" w:type="dxa"/>
          </w:tcPr>
          <w:p w14:paraId="52DCC527" w14:textId="77777777" w:rsidR="00787B6A" w:rsidRDefault="00897BE1" w:rsidP="00897BE1">
            <w:r w:rsidRPr="00787B6A">
              <w:rPr>
                <w:b/>
                <w:bCs/>
              </w:rPr>
              <w:t>Quantitative financial data collected in Schedule 1, Inventory Tab and Capital Instruments Tab</w:t>
            </w:r>
            <w:r w:rsidR="00787B6A">
              <w:rPr>
                <w:b/>
                <w:bCs/>
              </w:rPr>
              <w:t xml:space="preserve"> </w:t>
            </w:r>
            <w:r w:rsidR="00891087" w:rsidRPr="00787B6A">
              <w:rPr>
                <w:b/>
                <w:bCs/>
              </w:rPr>
              <w:t xml:space="preserve">used </w:t>
            </w:r>
            <w:r w:rsidRPr="00787B6A">
              <w:rPr>
                <w:b/>
                <w:bCs/>
              </w:rPr>
              <w:t>to support analytics</w:t>
            </w:r>
            <w:r w:rsidR="00891087" w:rsidRPr="00787B6A">
              <w:rPr>
                <w:b/>
                <w:bCs/>
              </w:rPr>
              <w:t xml:space="preserve"> and trending</w:t>
            </w:r>
            <w:r w:rsidRPr="00787B6A">
              <w:rPr>
                <w:b/>
                <w:bCs/>
              </w:rPr>
              <w:t xml:space="preserve"> (including the GCC ratio itself).</w:t>
            </w:r>
            <w:r>
              <w:t xml:space="preserve">  </w:t>
            </w:r>
          </w:p>
          <w:p w14:paraId="7B942DF9" w14:textId="1842B9C0" w:rsidR="00897BE1" w:rsidRDefault="00897BE1" w:rsidP="00897BE1">
            <w:r>
              <w:t xml:space="preserve">Data includes or expands upon the first 4 bullets in </w:t>
            </w:r>
            <w:r w:rsidR="00891087">
              <w:t>BBA</w:t>
            </w:r>
            <w:r>
              <w:t xml:space="preserve"> box + additional </w:t>
            </w:r>
            <w:r w:rsidR="00891087">
              <w:t xml:space="preserve">data on differences in accounting basis, </w:t>
            </w:r>
            <w:r>
              <w:t xml:space="preserve">operating </w:t>
            </w:r>
            <w:r w:rsidR="00891087">
              <w:t>results,</w:t>
            </w:r>
            <w:r>
              <w:t xml:space="preserve"> balance sheet data</w:t>
            </w:r>
            <w:r w:rsidR="00891087">
              <w:t>, and capital movement</w:t>
            </w:r>
            <w:r>
              <w:t>.</w:t>
            </w:r>
          </w:p>
        </w:tc>
      </w:tr>
    </w:tbl>
    <w:p w14:paraId="55EDEDFD" w14:textId="77777777" w:rsidR="00126D28" w:rsidRDefault="00126D28" w:rsidP="00F96797"/>
    <w:sectPr w:rsidR="00126D28" w:rsidSect="006722FE">
      <w:headerReference w:type="even" r:id="rId11"/>
      <w:headerReference w:type="default" r:id="rId12"/>
      <w:footerReference w:type="default" r:id="rId13"/>
      <w:headerReference w:type="first" r:id="rId14"/>
      <w:pgSz w:w="15840" w:h="12240" w:orient="landscape"/>
      <w:pgMar w:top="1152" w:right="1152" w:bottom="1152"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3318F" w14:textId="77777777" w:rsidR="008D3EC5" w:rsidRDefault="008D3EC5" w:rsidP="00DF18D9">
      <w:pPr>
        <w:spacing w:after="0" w:line="240" w:lineRule="auto"/>
      </w:pPr>
      <w:r>
        <w:separator/>
      </w:r>
    </w:p>
  </w:endnote>
  <w:endnote w:type="continuationSeparator" w:id="0">
    <w:p w14:paraId="60A60520" w14:textId="77777777" w:rsidR="008D3EC5" w:rsidRDefault="008D3EC5" w:rsidP="00DF18D9">
      <w:pPr>
        <w:spacing w:after="0" w:line="240" w:lineRule="auto"/>
      </w:pPr>
      <w:r>
        <w:continuationSeparator/>
      </w:r>
    </w:p>
  </w:endnote>
  <w:endnote w:type="continuationNotice" w:id="1">
    <w:p w14:paraId="3F2D1819" w14:textId="77777777" w:rsidR="008D3EC5" w:rsidRDefault="008D3E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7072754"/>
      <w:docPartObj>
        <w:docPartGallery w:val="Page Numbers (Bottom of Page)"/>
        <w:docPartUnique/>
      </w:docPartObj>
    </w:sdtPr>
    <w:sdtEndPr>
      <w:rPr>
        <w:noProof/>
      </w:rPr>
    </w:sdtEndPr>
    <w:sdtContent>
      <w:p w14:paraId="082C16BD" w14:textId="40FD7A9B" w:rsidR="00DF18D9" w:rsidRDefault="00DF18D9">
        <w:pPr>
          <w:pStyle w:val="Footer"/>
          <w:jc w:val="center"/>
        </w:pPr>
        <w:r>
          <w:fldChar w:fldCharType="begin"/>
        </w:r>
        <w:r>
          <w:instrText xml:space="preserve"> PAGE   \* MERGEFORMAT </w:instrText>
        </w:r>
        <w:r>
          <w:fldChar w:fldCharType="separate"/>
        </w:r>
        <w:r w:rsidR="00171C5D">
          <w:rPr>
            <w:noProof/>
          </w:rPr>
          <w:t>2</w:t>
        </w:r>
        <w:r>
          <w:rPr>
            <w:noProof/>
          </w:rPr>
          <w:fldChar w:fldCharType="end"/>
        </w:r>
      </w:p>
    </w:sdtContent>
  </w:sdt>
  <w:p w14:paraId="1D196FCF" w14:textId="77777777" w:rsidR="00DF18D9" w:rsidRDefault="00DF1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008E6" w14:textId="77777777" w:rsidR="008D3EC5" w:rsidRDefault="008D3EC5" w:rsidP="00DF18D9">
      <w:pPr>
        <w:spacing w:after="0" w:line="240" w:lineRule="auto"/>
      </w:pPr>
      <w:r>
        <w:separator/>
      </w:r>
    </w:p>
  </w:footnote>
  <w:footnote w:type="continuationSeparator" w:id="0">
    <w:p w14:paraId="0A37CDB1" w14:textId="77777777" w:rsidR="008D3EC5" w:rsidRDefault="008D3EC5" w:rsidP="00DF18D9">
      <w:pPr>
        <w:spacing w:after="0" w:line="240" w:lineRule="auto"/>
      </w:pPr>
      <w:r>
        <w:continuationSeparator/>
      </w:r>
    </w:p>
  </w:footnote>
  <w:footnote w:type="continuationNotice" w:id="1">
    <w:p w14:paraId="76094DF6" w14:textId="77777777" w:rsidR="008D3EC5" w:rsidRDefault="008D3E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C4EF6" w14:textId="324A2A73" w:rsidR="00561618" w:rsidRDefault="007D7A64">
    <w:pPr>
      <w:pStyle w:val="Header"/>
    </w:pPr>
    <w:r>
      <w:rPr>
        <w:noProof/>
      </w:rPr>
      <w:pict w14:anchorId="21B18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93876" o:spid="_x0000_s2050" type="#_x0000_t136" style="position:absolute;margin-left:0;margin-top:0;width:437.75pt;height:262.65pt;rotation:315;z-index:-251658239;mso-position-horizontal:center;mso-position-horizontal-relative:margin;mso-position-vertical:center;mso-position-vertical-relative:margin" o:allowincell="f" fillcolor="#404040 [2429]"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F20D3" w14:textId="09A01500" w:rsidR="00561618" w:rsidRDefault="007D7A64">
    <w:pPr>
      <w:pStyle w:val="Header"/>
    </w:pPr>
    <w:r>
      <w:rPr>
        <w:noProof/>
      </w:rPr>
      <w:pict w14:anchorId="1FB1F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93877" o:spid="_x0000_s2051" type="#_x0000_t136" style="position:absolute;margin-left:0;margin-top:0;width:437.75pt;height:262.65pt;rotation:315;z-index:-251658238;mso-position-horizontal:center;mso-position-horizontal-relative:margin;mso-position-vertical:center;mso-position-vertical-relative:margin" o:allowincell="f" fillcolor="#404040 [2429]"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48B51" w14:textId="2F3589B8" w:rsidR="00561618" w:rsidRDefault="007D7A64">
    <w:pPr>
      <w:pStyle w:val="Header"/>
    </w:pPr>
    <w:r>
      <w:rPr>
        <w:noProof/>
      </w:rPr>
      <w:pict w14:anchorId="1B4B34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93875" o:spid="_x0000_s2049" type="#_x0000_t136" style="position:absolute;margin-left:0;margin-top:0;width:437.75pt;height:262.65pt;rotation:315;z-index:-251658240;mso-position-horizontal:center;mso-position-horizontal-relative:margin;mso-position-vertical:center;mso-position-vertical-relative:margin" o:allowincell="f" fillcolor="#404040 [2429]"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65BBDD9"/>
    <w:multiLevelType w:val="hybridMultilevel"/>
    <w:tmpl w:val="A14A32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7B48D4"/>
    <w:multiLevelType w:val="hybridMultilevel"/>
    <w:tmpl w:val="5BF8B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2D004"/>
    <w:multiLevelType w:val="hybridMultilevel"/>
    <w:tmpl w:val="F2068D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C71427D"/>
    <w:multiLevelType w:val="multilevel"/>
    <w:tmpl w:val="0FF8E51C"/>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6669D7"/>
    <w:multiLevelType w:val="hybridMultilevel"/>
    <w:tmpl w:val="5C0E0768"/>
    <w:lvl w:ilvl="0" w:tplc="BA501898">
      <w:start w:val="1"/>
      <w:numFmt w:val="decimal"/>
      <w:lvlText w:val="%1."/>
      <w:lvlJc w:val="left"/>
      <w:pPr>
        <w:ind w:left="1800" w:hanging="360"/>
      </w:pPr>
      <w:rPr>
        <w:rFonts w:hint="default"/>
        <w:b w:val="0"/>
        <w:i w:val="0"/>
        <w:color w:val="auto"/>
      </w:rPr>
    </w:lvl>
    <w:lvl w:ilvl="1" w:tplc="04090001">
      <w:start w:val="1"/>
      <w:numFmt w:val="bullet"/>
      <w:lvlText w:val=""/>
      <w:lvlJc w:val="left"/>
      <w:pPr>
        <w:ind w:left="1530" w:hanging="360"/>
      </w:pPr>
      <w:rPr>
        <w:rFonts w:ascii="Symbol" w:hAnsi="Symbol" w:cs="Symbol" w:hint="default"/>
        <w:b w:val="0"/>
      </w:rPr>
    </w:lvl>
    <w:lvl w:ilvl="2" w:tplc="04090019">
      <w:start w:val="1"/>
      <w:numFmt w:val="lowerLetter"/>
      <w:lvlText w:val="%3."/>
      <w:lvlJc w:val="lef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 w15:restartNumberingAfterBreak="0">
    <w:nsid w:val="3BD8160F"/>
    <w:multiLevelType w:val="hybridMultilevel"/>
    <w:tmpl w:val="01BA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67593"/>
    <w:multiLevelType w:val="hybridMultilevel"/>
    <w:tmpl w:val="BEC4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6873CA"/>
    <w:multiLevelType w:val="hybridMultilevel"/>
    <w:tmpl w:val="B39E51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472E037A"/>
    <w:multiLevelType w:val="hybridMultilevel"/>
    <w:tmpl w:val="0808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4A76E5"/>
    <w:multiLevelType w:val="hybridMultilevel"/>
    <w:tmpl w:val="55D89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C468A2"/>
    <w:multiLevelType w:val="hybridMultilevel"/>
    <w:tmpl w:val="F0E144A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9173EB0"/>
    <w:multiLevelType w:val="hybridMultilevel"/>
    <w:tmpl w:val="3280C8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74466D3"/>
    <w:multiLevelType w:val="hybridMultilevel"/>
    <w:tmpl w:val="F35E1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D52BC6"/>
    <w:multiLevelType w:val="hybridMultilevel"/>
    <w:tmpl w:val="197E75D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1"/>
  </w:num>
  <w:num w:numId="2">
    <w:abstractNumId w:val="0"/>
  </w:num>
  <w:num w:numId="3">
    <w:abstractNumId w:val="2"/>
  </w:num>
  <w:num w:numId="4">
    <w:abstractNumId w:val="10"/>
  </w:num>
  <w:num w:numId="5">
    <w:abstractNumId w:val="6"/>
  </w:num>
  <w:num w:numId="6">
    <w:abstractNumId w:val="12"/>
  </w:num>
  <w:num w:numId="7">
    <w:abstractNumId w:val="5"/>
  </w:num>
  <w:num w:numId="8">
    <w:abstractNumId w:val="4"/>
  </w:num>
  <w:num w:numId="9">
    <w:abstractNumId w:val="9"/>
  </w:num>
  <w:num w:numId="10">
    <w:abstractNumId w:val="13"/>
  </w:num>
  <w:num w:numId="11">
    <w:abstractNumId w:val="1"/>
  </w:num>
  <w:num w:numId="12">
    <w:abstractNumId w:val="7"/>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D28"/>
    <w:rsid w:val="00001A20"/>
    <w:rsid w:val="000246CE"/>
    <w:rsid w:val="00033132"/>
    <w:rsid w:val="00035294"/>
    <w:rsid w:val="00035F14"/>
    <w:rsid w:val="00046EB8"/>
    <w:rsid w:val="0005506F"/>
    <w:rsid w:val="0005596C"/>
    <w:rsid w:val="000A5687"/>
    <w:rsid w:val="000A766E"/>
    <w:rsid w:val="000B0C86"/>
    <w:rsid w:val="000D0CCB"/>
    <w:rsid w:val="000E4B2C"/>
    <w:rsid w:val="000E72E3"/>
    <w:rsid w:val="00126D28"/>
    <w:rsid w:val="001524EC"/>
    <w:rsid w:val="00171C5D"/>
    <w:rsid w:val="00172C84"/>
    <w:rsid w:val="0019713B"/>
    <w:rsid w:val="001B53B9"/>
    <w:rsid w:val="001C489B"/>
    <w:rsid w:val="001D3F8A"/>
    <w:rsid w:val="00215A9E"/>
    <w:rsid w:val="0027559B"/>
    <w:rsid w:val="002A701A"/>
    <w:rsid w:val="002C4CAF"/>
    <w:rsid w:val="0030089D"/>
    <w:rsid w:val="00306047"/>
    <w:rsid w:val="00320AF7"/>
    <w:rsid w:val="00323188"/>
    <w:rsid w:val="003505DA"/>
    <w:rsid w:val="00370A4F"/>
    <w:rsid w:val="003B47F4"/>
    <w:rsid w:val="003E2512"/>
    <w:rsid w:val="003E5E76"/>
    <w:rsid w:val="003F75DE"/>
    <w:rsid w:val="004008BF"/>
    <w:rsid w:val="00400B7C"/>
    <w:rsid w:val="00401650"/>
    <w:rsid w:val="0043046D"/>
    <w:rsid w:val="0044090E"/>
    <w:rsid w:val="00452DE6"/>
    <w:rsid w:val="0045532F"/>
    <w:rsid w:val="004A304D"/>
    <w:rsid w:val="00514B75"/>
    <w:rsid w:val="0051659B"/>
    <w:rsid w:val="005422BD"/>
    <w:rsid w:val="00561618"/>
    <w:rsid w:val="00561643"/>
    <w:rsid w:val="00566D39"/>
    <w:rsid w:val="00572872"/>
    <w:rsid w:val="005741F6"/>
    <w:rsid w:val="00585771"/>
    <w:rsid w:val="005D6EBC"/>
    <w:rsid w:val="00606F06"/>
    <w:rsid w:val="006078D5"/>
    <w:rsid w:val="00615332"/>
    <w:rsid w:val="00615BB3"/>
    <w:rsid w:val="0063189D"/>
    <w:rsid w:val="00642A02"/>
    <w:rsid w:val="00671233"/>
    <w:rsid w:val="006722FE"/>
    <w:rsid w:val="006A0BA7"/>
    <w:rsid w:val="006D0DCF"/>
    <w:rsid w:val="00706916"/>
    <w:rsid w:val="00707994"/>
    <w:rsid w:val="00741A69"/>
    <w:rsid w:val="00752253"/>
    <w:rsid w:val="00771543"/>
    <w:rsid w:val="007806ED"/>
    <w:rsid w:val="00787B6A"/>
    <w:rsid w:val="007C13CA"/>
    <w:rsid w:val="007D7A64"/>
    <w:rsid w:val="007F32A3"/>
    <w:rsid w:val="007F5DDE"/>
    <w:rsid w:val="007F6B2D"/>
    <w:rsid w:val="0081316B"/>
    <w:rsid w:val="00826154"/>
    <w:rsid w:val="00842F6A"/>
    <w:rsid w:val="00844D29"/>
    <w:rsid w:val="00846C54"/>
    <w:rsid w:val="008541AA"/>
    <w:rsid w:val="00864A0E"/>
    <w:rsid w:val="00891087"/>
    <w:rsid w:val="0089116D"/>
    <w:rsid w:val="00893936"/>
    <w:rsid w:val="00897BE1"/>
    <w:rsid w:val="008A50D3"/>
    <w:rsid w:val="008B170F"/>
    <w:rsid w:val="008B7AD9"/>
    <w:rsid w:val="008C2D37"/>
    <w:rsid w:val="008D3EC5"/>
    <w:rsid w:val="00903FE8"/>
    <w:rsid w:val="00911034"/>
    <w:rsid w:val="0092786F"/>
    <w:rsid w:val="00944F89"/>
    <w:rsid w:val="009958F8"/>
    <w:rsid w:val="009A7986"/>
    <w:rsid w:val="009D5B35"/>
    <w:rsid w:val="00A00F2E"/>
    <w:rsid w:val="00A23198"/>
    <w:rsid w:val="00A2413A"/>
    <w:rsid w:val="00A34FFD"/>
    <w:rsid w:val="00A53A3C"/>
    <w:rsid w:val="00AA1337"/>
    <w:rsid w:val="00AA30E0"/>
    <w:rsid w:val="00B02CD4"/>
    <w:rsid w:val="00B07E9A"/>
    <w:rsid w:val="00B1131A"/>
    <w:rsid w:val="00B32ACC"/>
    <w:rsid w:val="00B66367"/>
    <w:rsid w:val="00B84C0E"/>
    <w:rsid w:val="00BA0984"/>
    <w:rsid w:val="00BB2BCC"/>
    <w:rsid w:val="00BB42A1"/>
    <w:rsid w:val="00BD2255"/>
    <w:rsid w:val="00C44B54"/>
    <w:rsid w:val="00C57993"/>
    <w:rsid w:val="00C62EE9"/>
    <w:rsid w:val="00C63162"/>
    <w:rsid w:val="00C70C3F"/>
    <w:rsid w:val="00CF0A4F"/>
    <w:rsid w:val="00CF0DEC"/>
    <w:rsid w:val="00D036B5"/>
    <w:rsid w:val="00D07C8A"/>
    <w:rsid w:val="00D14AF6"/>
    <w:rsid w:val="00D50C01"/>
    <w:rsid w:val="00D67B86"/>
    <w:rsid w:val="00DA4E95"/>
    <w:rsid w:val="00DA6347"/>
    <w:rsid w:val="00DF18D9"/>
    <w:rsid w:val="00DF1C37"/>
    <w:rsid w:val="00DF388B"/>
    <w:rsid w:val="00DF6FED"/>
    <w:rsid w:val="00E023A4"/>
    <w:rsid w:val="00E34DE2"/>
    <w:rsid w:val="00E465E6"/>
    <w:rsid w:val="00E56DFE"/>
    <w:rsid w:val="00E66DA0"/>
    <w:rsid w:val="00E74C5D"/>
    <w:rsid w:val="00EC1BEB"/>
    <w:rsid w:val="00F31DA0"/>
    <w:rsid w:val="00F4695C"/>
    <w:rsid w:val="00F53CAF"/>
    <w:rsid w:val="00F96797"/>
    <w:rsid w:val="00FA1611"/>
    <w:rsid w:val="00FA3AD1"/>
    <w:rsid w:val="00FD1F0B"/>
    <w:rsid w:val="00FE7E5B"/>
    <w:rsid w:val="00FF3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042B73"/>
  <w15:chartTrackingRefBased/>
  <w15:docId w15:val="{C375C6AE-2577-4457-8D9C-AEED155E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6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6D2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link w:val="ListParagraphChar"/>
    <w:uiPriority w:val="1"/>
    <w:qFormat/>
    <w:rsid w:val="00B07E9A"/>
    <w:pPr>
      <w:ind w:left="720"/>
      <w:contextualSpacing/>
    </w:pPr>
  </w:style>
  <w:style w:type="paragraph" w:styleId="Header">
    <w:name w:val="header"/>
    <w:basedOn w:val="Normal"/>
    <w:link w:val="HeaderChar"/>
    <w:uiPriority w:val="99"/>
    <w:unhideWhenUsed/>
    <w:rsid w:val="00DF1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8D9"/>
  </w:style>
  <w:style w:type="paragraph" w:styleId="Footer">
    <w:name w:val="footer"/>
    <w:basedOn w:val="Normal"/>
    <w:link w:val="FooterChar"/>
    <w:uiPriority w:val="99"/>
    <w:unhideWhenUsed/>
    <w:rsid w:val="00DF1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8D9"/>
  </w:style>
  <w:style w:type="character" w:customStyle="1" w:styleId="ListParagraphChar">
    <w:name w:val="List Paragraph Char"/>
    <w:basedOn w:val="DefaultParagraphFont"/>
    <w:link w:val="ListParagraph"/>
    <w:uiPriority w:val="1"/>
    <w:rsid w:val="00A00F2E"/>
  </w:style>
  <w:style w:type="paragraph" w:styleId="BalloonText">
    <w:name w:val="Balloon Text"/>
    <w:basedOn w:val="Normal"/>
    <w:link w:val="BalloonTextChar"/>
    <w:uiPriority w:val="99"/>
    <w:semiHidden/>
    <w:unhideWhenUsed/>
    <w:rsid w:val="00035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F14"/>
    <w:rPr>
      <w:rFonts w:ascii="Segoe UI" w:hAnsi="Segoe UI" w:cs="Segoe UI"/>
      <w:sz w:val="18"/>
      <w:szCs w:val="18"/>
    </w:rPr>
  </w:style>
  <w:style w:type="character" w:styleId="CommentReference">
    <w:name w:val="annotation reference"/>
    <w:basedOn w:val="DefaultParagraphFont"/>
    <w:uiPriority w:val="99"/>
    <w:semiHidden/>
    <w:unhideWhenUsed/>
    <w:rsid w:val="009958F8"/>
    <w:rPr>
      <w:sz w:val="16"/>
      <w:szCs w:val="16"/>
    </w:rPr>
  </w:style>
  <w:style w:type="paragraph" w:styleId="CommentText">
    <w:name w:val="annotation text"/>
    <w:basedOn w:val="Normal"/>
    <w:link w:val="CommentTextChar"/>
    <w:uiPriority w:val="99"/>
    <w:semiHidden/>
    <w:unhideWhenUsed/>
    <w:rsid w:val="009958F8"/>
    <w:pPr>
      <w:spacing w:line="240" w:lineRule="auto"/>
    </w:pPr>
    <w:rPr>
      <w:sz w:val="20"/>
      <w:szCs w:val="20"/>
    </w:rPr>
  </w:style>
  <w:style w:type="character" w:customStyle="1" w:styleId="CommentTextChar">
    <w:name w:val="Comment Text Char"/>
    <w:basedOn w:val="DefaultParagraphFont"/>
    <w:link w:val="CommentText"/>
    <w:uiPriority w:val="99"/>
    <w:semiHidden/>
    <w:rsid w:val="009958F8"/>
    <w:rPr>
      <w:sz w:val="20"/>
      <w:szCs w:val="20"/>
    </w:rPr>
  </w:style>
  <w:style w:type="paragraph" w:styleId="CommentSubject">
    <w:name w:val="annotation subject"/>
    <w:basedOn w:val="CommentText"/>
    <w:next w:val="CommentText"/>
    <w:link w:val="CommentSubjectChar"/>
    <w:uiPriority w:val="99"/>
    <w:semiHidden/>
    <w:unhideWhenUsed/>
    <w:rsid w:val="009958F8"/>
    <w:rPr>
      <w:b/>
      <w:bCs/>
    </w:rPr>
  </w:style>
  <w:style w:type="character" w:customStyle="1" w:styleId="CommentSubjectChar">
    <w:name w:val="Comment Subject Char"/>
    <w:basedOn w:val="CommentTextChar"/>
    <w:link w:val="CommentSubject"/>
    <w:uiPriority w:val="99"/>
    <w:semiHidden/>
    <w:rsid w:val="009958F8"/>
    <w:rPr>
      <w:b/>
      <w:bCs/>
      <w:sz w:val="20"/>
      <w:szCs w:val="20"/>
    </w:rPr>
  </w:style>
  <w:style w:type="paragraph" w:styleId="Revision">
    <w:name w:val="Revision"/>
    <w:hidden/>
    <w:uiPriority w:val="99"/>
    <w:semiHidden/>
    <w:rsid w:val="00E465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08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25ABA39D101D44BB4BCFCA033876012" ma:contentTypeVersion="7" ma:contentTypeDescription="Create a new document." ma:contentTypeScope="" ma:versionID="0c7b56725a12eb093834aaf364982c27">
  <xsd:schema xmlns:xsd="http://www.w3.org/2001/XMLSchema" xmlns:xs="http://www.w3.org/2001/XMLSchema" xmlns:p="http://schemas.microsoft.com/office/2006/metadata/properties" xmlns:ns2="dc5a1a36-ab8c-4221-9151-74cb8384e888" xmlns:ns3="2d41c270-3812-48d8-9b49-8470c0b9bc56" xmlns:ns4="50e8fb5d-98dd-4787-9086-71342edbfb48" targetNamespace="http://schemas.microsoft.com/office/2006/metadata/properties" ma:root="true" ma:fieldsID="1b656692941c4ba51aabd310b9e43f97" ns2:_="" ns3:_="" ns4:_="">
    <xsd:import namespace="dc5a1a36-ab8c-4221-9151-74cb8384e888"/>
    <xsd:import namespace="2d41c270-3812-48d8-9b49-8470c0b9bc56"/>
    <xsd:import namespace="50e8fb5d-98dd-4787-9086-71342edbfb48"/>
    <xsd:element name="properties">
      <xsd:complexType>
        <xsd:sequence>
          <xsd:element name="documentManagement">
            <xsd:complexType>
              <xsd:all>
                <xsd:element ref="ns2:_dlc_DocId" minOccurs="0"/>
                <xsd:element ref="ns2:_dlc_DocIdUrl" minOccurs="0"/>
                <xsd:element ref="ns2:_dlc_DocIdPersistId" minOccurs="0"/>
                <xsd:element ref="ns3:Classification"/>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a1a36-ab8c-4221-9151-74cb8384e88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41c270-3812-48d8-9b49-8470c0b9bc56" elementFormDefault="qualified">
    <xsd:import namespace="http://schemas.microsoft.com/office/2006/documentManagement/types"/>
    <xsd:import namespace="http://schemas.microsoft.com/office/infopath/2007/PartnerControls"/>
    <xsd:element name="Classification" ma:index="7" ma:displayName="Classification" ma:default="RESTRICTED FR" ma:format="Dropdown" ma:internalName="Classification" ma:readOnly="false">
      <xsd:simpleType>
        <xsd:restriction base="dms:Choice">
          <xsd:enumeration value="FOMC"/>
          <xsd:enumeration value="RESTRICTED - CONTROLLED - FR"/>
          <xsd:enumeration value="RESTRICTED FR"/>
          <xsd:enumeration value="INTERNAL FR"/>
          <xsd:enumeration value="PUBLIC"/>
        </xsd:restriction>
      </xsd:simpleType>
    </xsd:element>
  </xsd:schema>
  <xsd:schema xmlns:xsd="http://www.w3.org/2001/XMLSchema" xmlns:xs="http://www.w3.org/2001/XMLSchema" xmlns:dms="http://schemas.microsoft.com/office/2006/documentManagement/types" xmlns:pc="http://schemas.microsoft.com/office/infopath/2007/PartnerControls" targetNamespace="50e8fb5d-98dd-4787-9086-71342edbfb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assification xmlns="2d41c270-3812-48d8-9b49-8470c0b9bc56">RESTRICTED FR</Classification>
    <_dlc_DocId xmlns="dc5a1a36-ab8c-4221-9151-74cb8384e888">S2W2VQP36U2T-950073053-257</_dlc_DocId>
    <_dlc_DocIdUrl xmlns="dc5a1a36-ab8c-4221-9151-74cb8384e888">
      <Url>https://team.frb.gov/sites/SRProjects/InsurCapFrame/Steering/_layouts/15/DocIdRedir.aspx?ID=S2W2VQP36U2T-950073053-257</Url>
      <Description>S2W2VQP36U2T-950073053-257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4233F2-B234-48EF-A65B-9476BAB26095}">
  <ds:schemaRefs>
    <ds:schemaRef ds:uri="http://schemas.microsoft.com/sharepoint/events"/>
  </ds:schemaRefs>
</ds:datastoreItem>
</file>

<file path=customXml/itemProps2.xml><?xml version="1.0" encoding="utf-8"?>
<ds:datastoreItem xmlns:ds="http://schemas.openxmlformats.org/officeDocument/2006/customXml" ds:itemID="{39DA6846-2AB2-4742-A5A0-2FD88FC74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a1a36-ab8c-4221-9151-74cb8384e888"/>
    <ds:schemaRef ds:uri="2d41c270-3812-48d8-9b49-8470c0b9bc56"/>
    <ds:schemaRef ds:uri="50e8fb5d-98dd-4787-9086-71342edbf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F5F047-28D0-4558-8580-988733F86183}">
  <ds:schemaRefs>
    <ds:schemaRef ds:uri="http://schemas.microsoft.com/office/2006/metadata/properties"/>
    <ds:schemaRef ds:uri="http://schemas.microsoft.com/office/infopath/2007/PartnerControls"/>
    <ds:schemaRef ds:uri="2d41c270-3812-48d8-9b49-8470c0b9bc56"/>
    <ds:schemaRef ds:uri="dc5a1a36-ab8c-4221-9151-74cb8384e888"/>
  </ds:schemaRefs>
</ds:datastoreItem>
</file>

<file path=customXml/itemProps4.xml><?xml version="1.0" encoding="utf-8"?>
<ds:datastoreItem xmlns:ds="http://schemas.openxmlformats.org/officeDocument/2006/customXml" ds:itemID="{7F8D06D5-3B64-4265-8EF4-8E6ED6D2E3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ED904F4F.dotm</Template>
  <TotalTime>2</TotalTime>
  <Pages>5</Pages>
  <Words>2173</Words>
  <Characters>12389</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Felice, Lou</dc:creator>
  <cp:keywords/>
  <dc:description/>
  <cp:lastModifiedBy>Daveline, Dan</cp:lastModifiedBy>
  <cp:revision>2</cp:revision>
  <dcterms:created xsi:type="dcterms:W3CDTF">2020-06-26T18:47:00Z</dcterms:created>
  <dcterms:modified xsi:type="dcterms:W3CDTF">2020-06-26T18:47:00Z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f8265bb4-a17e-40bc-9960-6d272ce594d7</vt:lpwstr>
  </property>
  <property fmtid="{D5CDD505-2E9C-101B-9397-08002B2CF9AE}" pid="3" name="ContentTypeId">
    <vt:lpwstr>0x010100725ABA39D101D44BB4BCFCA033876012</vt:lpwstr>
  </property>
  <property fmtid="{D5CDD505-2E9C-101B-9397-08002B2CF9AE}" pid="4" name="_dlc_DocIdItemGuid">
    <vt:lpwstr>2909e1ff-6925-44b3-80f8-497f9336455d</vt:lpwstr>
  </property>
</Properties>
</file>